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3282"/>
        <w:gridCol w:w="1275"/>
        <w:gridCol w:w="2090"/>
      </w:tblGrid>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3282" w:type="dxa"/>
            <w:vAlign w:val="center"/>
          </w:tcPr>
          <w:p w:rsidR="00524DCF" w:rsidRPr="008D566E" w:rsidRDefault="005B56F5" w:rsidP="005C15FF">
            <w:pPr>
              <w:autoSpaceDE w:val="0"/>
              <w:autoSpaceDN w:val="0"/>
              <w:adjustRightInd w:val="0"/>
              <w:jc w:val="left"/>
              <w:rPr>
                <w:rFonts w:ascii="宋体"/>
                <w:szCs w:val="21"/>
              </w:rPr>
            </w:pPr>
            <w:r>
              <w:rPr>
                <w:rFonts w:ascii="宋体" w:hint="eastAsia"/>
                <w:szCs w:val="21"/>
              </w:rPr>
              <w:t>兴业</w:t>
            </w:r>
            <w:r w:rsidR="00AD58D1">
              <w:rPr>
                <w:rFonts w:ascii="宋体" w:hint="eastAsia"/>
                <w:szCs w:val="21"/>
              </w:rPr>
              <w:t>银行股份有限公司鹰潭</w:t>
            </w:r>
            <w:r w:rsidR="007B7719">
              <w:rPr>
                <w:rFonts w:ascii="宋体" w:hint="eastAsia"/>
                <w:szCs w:val="21"/>
              </w:rPr>
              <w:t>支行</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3282" w:type="dxa"/>
            <w:vAlign w:val="center"/>
          </w:tcPr>
          <w:p w:rsidR="00524DCF" w:rsidRPr="008D566E" w:rsidRDefault="005B56F5" w:rsidP="00F95F09">
            <w:pPr>
              <w:rPr>
                <w:rFonts w:ascii="宋体"/>
                <w:szCs w:val="21"/>
              </w:rPr>
            </w:pPr>
            <w:r>
              <w:rPr>
                <w:rFonts w:ascii="宋体" w:hint="eastAsia"/>
                <w:szCs w:val="21"/>
              </w:rPr>
              <w:t>502160100100111898</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3282"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090" w:type="dxa"/>
            <w:vAlign w:val="center"/>
          </w:tcPr>
          <w:p w:rsidR="00524DCF" w:rsidRPr="008D566E" w:rsidRDefault="00524DC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3282"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090" w:type="dxa"/>
            <w:vAlign w:val="center"/>
          </w:tcPr>
          <w:p w:rsidR="005C15FF" w:rsidRPr="008D566E" w:rsidRDefault="005C15F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3282"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090"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Default="00524DCF" w:rsidP="00524DCF">
      <w:pPr>
        <w:rPr>
          <w:szCs w:val="21"/>
        </w:rPr>
      </w:pPr>
    </w:p>
    <w:p w:rsidR="00EF26A8" w:rsidRDefault="00EF26A8" w:rsidP="00524DCF">
      <w:pPr>
        <w:rPr>
          <w:szCs w:val="21"/>
        </w:rPr>
      </w:pPr>
    </w:p>
    <w:p w:rsidR="00EF26A8" w:rsidRDefault="00EF26A8" w:rsidP="00524DCF">
      <w:pPr>
        <w:rPr>
          <w:szCs w:val="21"/>
        </w:rPr>
      </w:pPr>
    </w:p>
    <w:p w:rsidR="00091537" w:rsidRDefault="00E6636E"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6E" w:rsidRDefault="00E6636E" w:rsidP="005C15FF">
      <w:r>
        <w:separator/>
      </w:r>
    </w:p>
  </w:endnote>
  <w:endnote w:type="continuationSeparator" w:id="0">
    <w:p w:rsidR="00E6636E" w:rsidRDefault="00E6636E"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6E" w:rsidRDefault="00E6636E" w:rsidP="005C15FF">
      <w:r>
        <w:separator/>
      </w:r>
    </w:p>
  </w:footnote>
  <w:footnote w:type="continuationSeparator" w:id="0">
    <w:p w:rsidR="00E6636E" w:rsidRDefault="00E6636E"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2649C"/>
    <w:rsid w:val="00056899"/>
    <w:rsid w:val="00084A0C"/>
    <w:rsid w:val="001018F2"/>
    <w:rsid w:val="0016590E"/>
    <w:rsid w:val="001A4644"/>
    <w:rsid w:val="001B1D57"/>
    <w:rsid w:val="002D302E"/>
    <w:rsid w:val="002E046F"/>
    <w:rsid w:val="002E0DF7"/>
    <w:rsid w:val="0030051D"/>
    <w:rsid w:val="00370DEE"/>
    <w:rsid w:val="003C4292"/>
    <w:rsid w:val="003D3064"/>
    <w:rsid w:val="004034CB"/>
    <w:rsid w:val="00482E25"/>
    <w:rsid w:val="004D0714"/>
    <w:rsid w:val="00524DCF"/>
    <w:rsid w:val="00526D16"/>
    <w:rsid w:val="0055716D"/>
    <w:rsid w:val="005902BE"/>
    <w:rsid w:val="00592EA8"/>
    <w:rsid w:val="005B1968"/>
    <w:rsid w:val="005B56F5"/>
    <w:rsid w:val="005C15FF"/>
    <w:rsid w:val="005C55C1"/>
    <w:rsid w:val="00663BE1"/>
    <w:rsid w:val="00705E1C"/>
    <w:rsid w:val="00707038"/>
    <w:rsid w:val="0075573F"/>
    <w:rsid w:val="007B7719"/>
    <w:rsid w:val="007C3C73"/>
    <w:rsid w:val="00822FFB"/>
    <w:rsid w:val="008770B3"/>
    <w:rsid w:val="008E49A9"/>
    <w:rsid w:val="00933A46"/>
    <w:rsid w:val="00963A5F"/>
    <w:rsid w:val="0099502A"/>
    <w:rsid w:val="009C61DF"/>
    <w:rsid w:val="00A53492"/>
    <w:rsid w:val="00A56661"/>
    <w:rsid w:val="00A569F3"/>
    <w:rsid w:val="00AC0AA4"/>
    <w:rsid w:val="00AD58D1"/>
    <w:rsid w:val="00C415CA"/>
    <w:rsid w:val="00C56547"/>
    <w:rsid w:val="00D06D31"/>
    <w:rsid w:val="00D40D1B"/>
    <w:rsid w:val="00D442E0"/>
    <w:rsid w:val="00D9472F"/>
    <w:rsid w:val="00DB0666"/>
    <w:rsid w:val="00DF6FFB"/>
    <w:rsid w:val="00E13BA0"/>
    <w:rsid w:val="00E6636E"/>
    <w:rsid w:val="00EF26A8"/>
    <w:rsid w:val="00F164DB"/>
    <w:rsid w:val="00F72672"/>
    <w:rsid w:val="00F97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微软中国</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2</cp:revision>
  <cp:lastPrinted>2023-06-02T03:12:00Z</cp:lastPrinted>
  <dcterms:created xsi:type="dcterms:W3CDTF">2023-06-08T06:55:00Z</dcterms:created>
  <dcterms:modified xsi:type="dcterms:W3CDTF">2023-06-08T06:55:00Z</dcterms:modified>
</cp:coreProperties>
</file>