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eastAsia="宋体"/>
          <w:b/>
          <w:bCs/>
          <w:sz w:val="32"/>
          <w:szCs w:val="40"/>
          <w:lang w:eastAsia="zh-CN"/>
        </w:rPr>
      </w:pPr>
      <w:r>
        <w:rPr>
          <w:rFonts w:hint="eastAsia"/>
          <w:b/>
          <w:bCs/>
          <w:sz w:val="32"/>
          <w:szCs w:val="40"/>
          <w:lang w:eastAsia="zh-CN"/>
        </w:rPr>
        <w:t>技术要求</w:t>
      </w:r>
    </w:p>
    <w:p>
      <w:pPr>
        <w:pStyle w:val="3"/>
        <w:pageBreakBefore w:val="0"/>
        <w:numPr>
          <w:ilvl w:val="0"/>
          <w:numId w:val="1"/>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项目概况</w:t>
      </w:r>
      <w:bookmarkStart w:id="0" w:name="_GoBack"/>
      <w:bookmarkEnd w:id="0"/>
    </w:p>
    <w:p>
      <w:pPr>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项目名称：鹰潭市智慧住房公积金一体化平台项目</w:t>
      </w:r>
    </w:p>
    <w:p>
      <w:pPr>
        <w:pStyle w:val="4"/>
        <w:pageBreakBefore w:val="0"/>
        <w:numPr>
          <w:ilvl w:val="1"/>
          <w:numId w:val="0"/>
        </w:numPr>
        <w:kinsoku/>
        <w:wordWrap/>
        <w:overflowPunct/>
        <w:topLinePunct w:val="0"/>
        <w:bidi w:val="0"/>
        <w:snapToGrid/>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1.项目背景</w:t>
      </w:r>
    </w:p>
    <w:p>
      <w:pPr>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鹰潭市住房公积金管理中心此次项目围绕国家加快“数字政府”建设要求的大环境，紧跟住建部信息化十四五发展规划，立足江西省“数字政府”十四五发展目标，以数字化、智能化、绿色安全可控为发展方向，贯彻落实坚持以人民为中心的服务思想，深化“最多跑一次”、“一件事一次办”、“一网通办”、“跨省通办”等工作任务要求，并结合鹰潭市住房公积金实际，从顶层设计出发，以云计算为抓手，以基础环境资源及数据资源体系为支撑，以业务、技术、数据、风控四大中台的共性化、标准化能力覆盖业务管理、业务服务、监督管理三大服务场景。</w:t>
      </w:r>
    </w:p>
    <w:p>
      <w:pPr>
        <w:pStyle w:val="4"/>
        <w:pageBreakBefore w:val="0"/>
        <w:numPr>
          <w:ilvl w:val="1"/>
          <w:numId w:val="0"/>
        </w:numPr>
        <w:kinsoku/>
        <w:wordWrap/>
        <w:overflowPunct/>
        <w:topLinePunct w:val="0"/>
        <w:bidi w:val="0"/>
        <w:snapToGrid/>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2.项目目标</w:t>
      </w:r>
    </w:p>
    <w:p>
      <w:pPr>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运用数字化设计思路，充分考虑公积金的业务特性，通过资源整合、技术融合、数据融合、服务融合、数据共享等手段，落地数字化管理和移动化服务，在保留原有系统各项功能的基础上，完成8项重点任务建设，打造集“监督、管理、服务、互联互通”四个功能为一体的智慧住房公积金一体化平台，推进住房公积金服务“最多跑一次、一次不跑”，7*24小时不间断服务，风险防控100%无死角，实现 “业务管理效率、资金监管效能、公共服务效力”三提升。</w:t>
      </w:r>
    </w:p>
    <w:p>
      <w:pPr>
        <w:pStyle w:val="5"/>
        <w:pageBreakBefore w:val="0"/>
        <w:tabs>
          <w:tab w:val="left" w:pos="0"/>
          <w:tab w:val="left" w:pos="420"/>
        </w:tabs>
        <w:kinsoku/>
        <w:wordWrap/>
        <w:overflowPunct/>
        <w:topLinePunct w:val="0"/>
        <w:bidi w:val="0"/>
        <w:snapToGrid/>
        <w:spacing w:line="360" w:lineRule="auto"/>
        <w:ind w:firstLine="542"/>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分项目标</w:t>
      </w:r>
    </w:p>
    <w:p>
      <w:pPr>
        <w:pStyle w:val="6"/>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cs="宋体"/>
          <w:sz w:val="24"/>
          <w:szCs w:val="24"/>
          <w:lang w:val="en-US" w:eastAsia="zh-CN"/>
        </w:rPr>
        <w:t>3.1</w:t>
      </w:r>
      <w:r>
        <w:rPr>
          <w:rFonts w:hint="eastAsia" w:ascii="宋体" w:hAnsi="宋体" w:eastAsia="宋体" w:cs="宋体"/>
          <w:sz w:val="24"/>
          <w:szCs w:val="24"/>
        </w:rPr>
        <w:t>完成部、省、市政策文件要求</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3.1.1</w:t>
      </w:r>
      <w:r>
        <w:rPr>
          <w:rFonts w:hint="eastAsia" w:ascii="宋体" w:hAnsi="宋体" w:eastAsia="宋体" w:cs="宋体"/>
          <w:b/>
          <w:bCs w:val="0"/>
          <w:sz w:val="24"/>
          <w:szCs w:val="24"/>
        </w:rPr>
        <w:t>完成征信信息共享，推进征信体系建设</w:t>
      </w:r>
    </w:p>
    <w:p>
      <w:pPr>
        <w:pStyle w:val="2"/>
        <w:pageBreakBefore w:val="0"/>
        <w:kinsoku/>
        <w:wordWrap/>
        <w:overflowPunct/>
        <w:topLinePunct w:val="0"/>
        <w:bidi w:val="0"/>
        <w:snapToGrid/>
        <w:spacing w:line="360" w:lineRule="auto"/>
        <w:ind w:firstLine="560"/>
        <w:rPr>
          <w:rFonts w:hint="eastAsia" w:ascii="宋体" w:hAnsi="宋体" w:eastAsia="宋体" w:cs="宋体"/>
          <w:bCs w:val="0"/>
          <w:sz w:val="24"/>
          <w:szCs w:val="24"/>
        </w:rPr>
      </w:pPr>
      <w:r>
        <w:rPr>
          <w:rFonts w:hint="eastAsia" w:ascii="宋体" w:hAnsi="宋体" w:eastAsia="宋体" w:cs="宋体"/>
          <w:bCs w:val="0"/>
          <w:sz w:val="24"/>
          <w:szCs w:val="24"/>
        </w:rPr>
        <w:t>根据住建部《住房和城乡建设部办公厅关于做好征信信息共享有关工作的通知》（建办金函[2022]229号）文件要求，采取“总对总”方式开展住房公积金信息与人民银行征信信息共享。通过征信系统的建设和应用，推动中心参与社会信用体系建设，完善职工信用信息。</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3.1.2</w:t>
      </w:r>
      <w:r>
        <w:rPr>
          <w:rFonts w:hint="eastAsia" w:ascii="宋体" w:hAnsi="宋体" w:eastAsia="宋体" w:cs="宋体"/>
          <w:b/>
          <w:bCs w:val="0"/>
          <w:sz w:val="24"/>
          <w:szCs w:val="24"/>
        </w:rPr>
        <w:t>完成公积金业务数据监管，提高业务监管效率、防范重大风险</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省住建厅《关于接入全省住房公积金监管服务平台的通知》文件要求，完成鹰潭市住房公积金管理中心接入省级监督管理平台，对业务、服务、互联互通等进行实时监控，实现风险自动识别跟踪，信息电子稽查，大大降低业务与资金的高危风险率，确保监管的科学性、有效性；同时强化与省内公积金中心间的业务协同，促进风险防控和业务办理能力的双重提高。</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3.1.3</w:t>
      </w:r>
      <w:r>
        <w:rPr>
          <w:rFonts w:hint="eastAsia" w:ascii="宋体" w:hAnsi="宋体" w:eastAsia="宋体" w:cs="宋体"/>
          <w:b/>
          <w:bCs w:val="0"/>
          <w:sz w:val="24"/>
          <w:szCs w:val="24"/>
        </w:rPr>
        <w:t>完成业务办理渠道扩展，实现公积金业务一网通办</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江西省《加快推进政务服务“跨省通办”“省内通办”工作方案》（赣府厅字〔2020〕86号）文件要求，坚持“以人民为中心”的发展理念，满足新时代下住房公积金信息化建设转型需求，实现与江西政务服务一窗式办理平台深度对接融合。</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3.1.4</w:t>
      </w:r>
      <w:r>
        <w:rPr>
          <w:rFonts w:hint="eastAsia" w:ascii="宋体" w:hAnsi="宋体" w:eastAsia="宋体" w:cs="宋体"/>
          <w:b/>
          <w:bCs w:val="0"/>
          <w:sz w:val="24"/>
          <w:szCs w:val="24"/>
        </w:rPr>
        <w:t>完成公积金业务资金结算规范化应用，保障资金结算安全</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住建部《关于印发住房公积金结算应用系统新版接口的通知》(建金信函〔2018〕47号)文件要求，完成对接统一资金结算平台，规范与各支付结算银行间的支付结算业务，提高支付结算效率、搭建统一资金支付结算通道，达到“业务有发生、资金有变化、统计有成效”，实现结算核算、统计分析规范化，为客户提供全面便捷的资金结算服务。</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3.1.5</w:t>
      </w:r>
      <w:r>
        <w:rPr>
          <w:rFonts w:hint="eastAsia" w:ascii="宋体" w:hAnsi="宋体" w:eastAsia="宋体" w:cs="宋体"/>
          <w:b/>
          <w:bCs w:val="0"/>
          <w:sz w:val="24"/>
          <w:szCs w:val="24"/>
        </w:rPr>
        <w:t>完成公积金业务免证办理和无纸化应用，提升业务办理效率</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鹰潭市《关于做好“免证办理”政务服务大厅建设工作的通知》（鹰政务字[2021]24号）文件要求，以“免证办理和无纸化应用”为重要抓手，全面推行“赣通码+电子证照”的免证办理模式，结合电子档案数字化能力，打造集业务受理、业务过程等于一体的无纸化办公体系。</w:t>
      </w:r>
    </w:p>
    <w:p>
      <w:pPr>
        <w:pStyle w:val="6"/>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cs="宋体"/>
          <w:sz w:val="24"/>
          <w:szCs w:val="24"/>
          <w:lang w:val="en-US" w:eastAsia="zh-CN"/>
        </w:rPr>
        <w:t>3.2</w:t>
      </w:r>
      <w:r>
        <w:rPr>
          <w:rFonts w:hint="eastAsia" w:ascii="宋体" w:hAnsi="宋体" w:eastAsia="宋体" w:cs="宋体"/>
          <w:sz w:val="24"/>
          <w:szCs w:val="24"/>
        </w:rPr>
        <w:t>推进数字化改革</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3.2.1</w:t>
      </w:r>
      <w:r>
        <w:rPr>
          <w:rFonts w:hint="eastAsia" w:ascii="宋体" w:hAnsi="宋体" w:eastAsia="宋体" w:cs="宋体"/>
          <w:b/>
          <w:bCs w:val="0"/>
          <w:sz w:val="24"/>
          <w:szCs w:val="24"/>
        </w:rPr>
        <w:t>完成政务数据共享，推进数据共享、互联互通</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响应住建部《关于加快住房公积金数字化发展的指导意见》（建司局函金〔2022〕33号）文件精神，重点围绕住房公积金行业业务需要，向公安、房产、民政、工商、人社、税务等部门获取数据，实现横向信息资源共享，建立统一的对外数据交换和充分的内部数据共享，全面提升公积金业务办理的便捷性。</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3.2.2</w:t>
      </w:r>
      <w:r>
        <w:rPr>
          <w:rFonts w:hint="eastAsia" w:ascii="宋体" w:hAnsi="宋体" w:eastAsia="宋体" w:cs="宋体"/>
          <w:b/>
          <w:bCs w:val="0"/>
          <w:sz w:val="24"/>
          <w:szCs w:val="24"/>
        </w:rPr>
        <w:t>完成贷款不见面审批应用建设，实现贷款业务线上办理</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响应住建部《关于加快住房公积金数字化发展的指导意见》（建司局函金〔2022〕33号）文件精神，利用数字签名、电子印章、网络视频等技术，以实现住房公积金贷款业务办理“一次不跑”为目标，建设鹰潭市住房公积金贷款不见面审批系统，在行业内创新贷款办理模式，打造中心数字化转型实践地。</w:t>
      </w:r>
    </w:p>
    <w:p>
      <w:pPr>
        <w:pStyle w:val="2"/>
        <w:pageBreakBefore w:val="0"/>
        <w:kinsoku/>
        <w:wordWrap/>
        <w:overflowPunct/>
        <w:topLinePunct w:val="0"/>
        <w:bidi w:val="0"/>
        <w:snapToGrid/>
        <w:spacing w:line="360" w:lineRule="auto"/>
        <w:ind w:firstLine="56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3.2.3</w:t>
      </w:r>
      <w:r>
        <w:rPr>
          <w:rFonts w:hint="eastAsia" w:ascii="宋体" w:hAnsi="宋体" w:eastAsia="宋体" w:cs="宋体"/>
          <w:b/>
          <w:bCs w:val="0"/>
          <w:sz w:val="24"/>
          <w:szCs w:val="24"/>
        </w:rPr>
        <w:t>建设拓展公积金业务专用电子签章范围，提高办事效率</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响应住建部《关于加快住房公积金数字化发展的指导意见》（建司局函金〔2022〕33号）文件精神，结合当前公积金中心的业务需求，梳理业务系统事项流程，通过审批签章签名、电子要件真伪验签、加密传输等手段，确保业务事项电子要件安全，保障电子业务凭证的真实有效，减少办事人员多部门间往返，加快业务办理速度，提升办事效率和办事群众的满意度，推进互联互通与信息安全建设。</w:t>
      </w:r>
    </w:p>
    <w:p>
      <w:pPr>
        <w:pStyle w:val="8"/>
        <w:pageBreakBefore w:val="0"/>
        <w:kinsoku/>
        <w:wordWrap/>
        <w:overflowPunct/>
        <w:topLinePunct w:val="0"/>
        <w:bidi w:val="0"/>
        <w:snapToGrid/>
        <w:spacing w:line="360" w:lineRule="auto"/>
        <w:ind w:firstLine="281"/>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3.2.4</w:t>
      </w:r>
      <w:r>
        <w:rPr>
          <w:rFonts w:hint="eastAsia" w:ascii="宋体" w:hAnsi="宋体" w:eastAsia="宋体" w:cs="宋体"/>
          <w:b/>
          <w:bCs w:val="0"/>
          <w:sz w:val="24"/>
          <w:szCs w:val="24"/>
        </w:rPr>
        <w:t>完成现有综合服务平台的改造和提升</w:t>
      </w:r>
    </w:p>
    <w:p>
      <w:pPr>
        <w:pStyle w:val="8"/>
        <w:pageBreakBefore w:val="0"/>
        <w:kinsoku/>
        <w:wordWrap/>
        <w:overflowPunct/>
        <w:topLinePunct w:val="0"/>
        <w:bidi w:val="0"/>
        <w:snapToGrid/>
        <w:spacing w:line="360" w:lineRule="auto"/>
        <w:ind w:firstLine="280"/>
        <w:rPr>
          <w:rFonts w:hint="eastAsia" w:ascii="宋体" w:hAnsi="宋体" w:eastAsia="宋体" w:cs="宋体"/>
          <w:b/>
          <w:bCs w:val="0"/>
          <w:sz w:val="24"/>
          <w:szCs w:val="24"/>
        </w:rPr>
      </w:pPr>
      <w:r>
        <w:rPr>
          <w:rFonts w:hint="eastAsia" w:ascii="宋体" w:hAnsi="宋体" w:eastAsia="宋体" w:cs="宋体"/>
          <w:sz w:val="24"/>
          <w:szCs w:val="24"/>
        </w:rPr>
        <w:t>响应住建部《关于加快住房公积金数字化发展的指导意见》（建司局函金〔2022〕33号）文件精神，通过全业务全流程化管理、风险防空稽核措施、行政执法、国产化电脑适配等措施，提升现有系统风险防控能力，并引入数字监管能力，实现领导驾驶舱等功能。</w:t>
      </w:r>
    </w:p>
    <w:p>
      <w:pPr>
        <w:pStyle w:val="3"/>
        <w:pageBreakBefore w:val="0"/>
        <w:numPr>
          <w:ilvl w:val="0"/>
          <w:numId w:val="1"/>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项目标准规范</w:t>
      </w:r>
    </w:p>
    <w:p>
      <w:pPr>
        <w:pStyle w:val="11"/>
        <w:pageBreakBefore w:val="0"/>
        <w:kinsoku/>
        <w:wordWrap/>
        <w:overflowPunct/>
        <w:topLinePunct w:val="0"/>
        <w:bidi w:val="0"/>
        <w:snapToGrid/>
        <w:spacing w:line="360" w:lineRule="auto"/>
        <w:ind w:firstLine="480" w:firstLineChars="200"/>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本次项目必须严格按照以下技术标准和规范进行建设:</w:t>
      </w:r>
    </w:p>
    <w:p>
      <w:pPr>
        <w:pStyle w:val="11"/>
        <w:pageBreakBefore w:val="0"/>
        <w:kinsoku/>
        <w:wordWrap/>
        <w:overflowPunct/>
        <w:topLinePunct w:val="0"/>
        <w:bidi w:val="0"/>
        <w:snapToGrid/>
        <w:spacing w:line="360" w:lineRule="auto"/>
        <w:ind w:firstLine="480" w:firstLineChars="200"/>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国家电子政务标准体系建设指南》、《“互联网+政务服务”技术体系建设指南》、《政务服务平台基础数据规范GB/T39046—2020》、《电子文件管理能力体系GB/T39755.1-2021》、《住房公积金管理条例》、《住房公积金综合服务平台建设导则》、《住房公积金归集业务标准》、《住房公积金个人住房贷款业务规范》、《住房公积金管理人员职业标准》、《住房公积金信息系统技术规范》等。</w:t>
      </w:r>
    </w:p>
    <w:p>
      <w:pPr>
        <w:pStyle w:val="3"/>
        <w:pageBreakBefore w:val="0"/>
        <w:numPr>
          <w:ilvl w:val="0"/>
          <w:numId w:val="1"/>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项目内容</w:t>
      </w:r>
    </w:p>
    <w:p>
      <w:pPr>
        <w:pStyle w:val="4"/>
        <w:pageBreakBefore w:val="0"/>
        <w:numPr>
          <w:ilvl w:val="1"/>
          <w:numId w:val="0"/>
        </w:numPr>
        <w:kinsoku/>
        <w:wordWrap/>
        <w:overflowPunct/>
        <w:topLinePunct w:val="0"/>
        <w:bidi w:val="0"/>
        <w:snapToGrid/>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1.建设内容</w:t>
      </w:r>
    </w:p>
    <w:p>
      <w:pPr>
        <w:pStyle w:val="2"/>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次建设遵循“高起点谋划、分重点开发、梯次推进、安全与应用同步”的原则，在现有住房公积金业务系统的基础上，严格按照省、市政府推进营商环境优化升级“一号改革工程”对“一件事一次办”的创新改革要求，重点进行9个子项目的建设。一是建设贷款数字操作系统，实现缴存人通过手机APP或者个人网厅申请贷款，线上面签、一次不跑。二是完成数据互联互通，实现与11个部门的数据互通共享。三是对接征信信息共享平台，实现公积金贷款数据的征信上报和个人征信数据查询的接入。四是对接全省一窗式综合服务平台，实现与省级政务平台系统通、数据通、业务通，推动政务服务“一网通办”。五是对接全省监管服务平台，完成与全省住房公积金监管系统200余个数据指标、电子稽查和数据共享平台接口的对接工作。六是建设“免证办理”及“无纸化应用”系统，提供亮码服务，实现办理过程零纸质材料，全程电子化。七是推广电子印章应用，实现用户高频使用业务直接线上盖章打印。八是对接住建部公积结算应用平台，升级现有结算平台，规范中心与各支付结算银行间的支付结算业务，提高支付结算效率。九是实现现有综合服务平台改造提升功能，进一步提升现有系统的服务和管理能力</w:t>
      </w:r>
    </w:p>
    <w:p>
      <w:pPr>
        <w:pStyle w:val="4"/>
        <w:pageBreakBefore w:val="0"/>
        <w:numPr>
          <w:ilvl w:val="0"/>
          <w:numId w:val="0"/>
        </w:numPr>
        <w:kinsoku/>
        <w:wordWrap/>
        <w:overflowPunct/>
        <w:topLinePunct w:val="0"/>
        <w:bidi w:val="0"/>
        <w:snapToGrid/>
        <w:spacing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2.建设清单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6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7745"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征信信息共享应用</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与人行进行征信信息共享对接，实现公积金贷款数据的征信上报和个人征信数据查询等功能。具体功能需求如下：</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1）征信数据整理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根据业务数据情况，为中心提供数据整理服务，持续提升数据质量，公积金中心向数据平台报送的数据质量满足相关条件后，方可接入征信系统。</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2）征信信息共享授权</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针对信息化建设过程中难以解决的痛点及顾虑，需要增加授权模块，与数据平台连接，实现与信息系统的深度融合，为群众、企业、部门提供合规可信的数据服务。</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3）征信数据报送</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住房和城乡建设部住房公积金监管司关于做好征信信息共享接入准备工作的通知》（建司局函金〔2020〕5号）、《中国人民银行征信中心关于停止一代征信系统信息查询服务等事项的通知》（银征信中心〔2020〕31号）文件要求，依法向征信系统报送个人住房公积金数据。</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4）征信信息查询</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中心在上报本机构的征信相关信息的同时，同时需要获取人行征信系统的征信信息，建设信用报告查询前置系统（以下简称“前置系统”），符合人民银行征信管理条例要求，保障公积金中心征信查询业务正常进行。</w:t>
            </w:r>
          </w:p>
          <w:p>
            <w:pPr>
              <w:pageBreakBefore w:val="0"/>
              <w:numPr>
                <w:ilvl w:val="0"/>
                <w:numId w:val="2"/>
              </w:numPr>
              <w:kinsoku/>
              <w:wordWrap/>
              <w:overflowPunct/>
              <w:topLinePunct w:val="0"/>
              <w:bidi w:val="0"/>
              <w:snapToGrid/>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在质保期内，如有更新及其升级，中标单位应为公积金中心免费更新升级。</w:t>
            </w:r>
          </w:p>
          <w:p>
            <w:pPr>
              <w:pStyle w:val="11"/>
              <w:pageBreakBefore w:val="0"/>
              <w:kinsoku/>
              <w:wordWrap/>
              <w:overflowPunct/>
              <w:topLinePunct w:val="0"/>
              <w:bidi w:val="0"/>
              <w:snapToGrid/>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公积金业务数据监管应用</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完成与全省住房公积金监管系统200余个数据指标、电子稽查和公积金数据共享平台接口的接入工作。</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1）全省公积金数据共享</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在全省公积金数据平台的基础上，通过创新管理手段，完成省内公积金数据共享，进一步运用共享数据实现部分公积金服务事项就近能办、异地可办，让群众办事更方便、更快捷、更满意。</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2）业务指标监督管理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根据江西省住建厅公积金业务监管相关规定，整合梳理鹰潭市公积金业务数据相关指标并上报至全省数据监管平台，通过对监管数据进行科学的分析和预测，构建覆盖全面的住房公积金监督管理体系。</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3）电子稽查</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根据江西省住建厅文件要求，通过对公积金数据风险检查、问题整改，提高公积金数据质量，形成数据运行分析常态化，完善住房公积金内部风险防控体系建设。</w:t>
            </w:r>
          </w:p>
          <w:p>
            <w:pPr>
              <w:pageBreakBefore w:val="0"/>
              <w:kinsoku/>
              <w:wordWrap/>
              <w:overflowPunct/>
              <w:topLinePunct w:val="0"/>
              <w:bidi w:val="0"/>
              <w:snapToGrid/>
              <w:spacing w:line="360" w:lineRule="auto"/>
              <w:ind w:firstLine="0" w:firstLineChars="0"/>
              <w:rPr>
                <w:rFonts w:hint="eastAsia" w:ascii="宋体" w:hAnsi="宋体" w:eastAsia="宋体" w:cs="宋体"/>
                <w:sz w:val="24"/>
                <w:szCs w:val="24"/>
              </w:rPr>
            </w:pPr>
            <w:r>
              <w:rPr>
                <w:rFonts w:hint="eastAsia" w:ascii="宋体" w:hAnsi="宋体" w:eastAsia="宋体" w:cs="宋体"/>
                <w:color w:val="000000"/>
                <w:kern w:val="0"/>
                <w:sz w:val="24"/>
                <w:szCs w:val="24"/>
              </w:rPr>
              <w:t>4)在质保期内，如有更新及其升级，中标单位应为公积金中心免费更新升级。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公积金业务一网通办应用</w:t>
            </w:r>
          </w:p>
        </w:tc>
        <w:tc>
          <w:tcPr>
            <w:tcW w:w="7745" w:type="dxa"/>
            <w:noWrap w:val="0"/>
            <w:vAlign w:val="center"/>
          </w:tcPr>
          <w:p>
            <w:pPr>
              <w:pStyle w:val="11"/>
              <w:pageBreakBefore w:val="0"/>
              <w:numPr>
                <w:ilvl w:val="0"/>
                <w:numId w:val="3"/>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文件要求，以“互联网+”为导向，以移动终端为主要载体，拓展服务渠道，加快建设功能齐全、使用便捷、服务高效、群众满意的住房公积金综合服务体系。业务系统完成与全省“一窗式综合服务平台”对接，实现系统通、数据通、业务通，为全面推动政务服务“一网通办”提供数据支撑。</w:t>
            </w:r>
          </w:p>
          <w:p>
            <w:pPr>
              <w:pStyle w:val="11"/>
              <w:pageBreakBefore w:val="0"/>
              <w:numPr>
                <w:ilvl w:val="0"/>
                <w:numId w:val="3"/>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基于“一网通办”融合平台，一窗上线28个公积金业务事项、赣服通上线33个事项、赣政通上线缴存和贷款查询事项以及国务院要求的14个公积金“跨省通办”事项上线。</w:t>
            </w:r>
          </w:p>
          <w:p>
            <w:pPr>
              <w:pStyle w:val="11"/>
              <w:pageBreakBefore w:val="0"/>
              <w:numPr>
                <w:ilvl w:val="0"/>
                <w:numId w:val="3"/>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在质保期内，如有更新及其升级，中标单位应为公积金中心免费更新升级。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资金结算应用</w:t>
            </w:r>
          </w:p>
        </w:tc>
        <w:tc>
          <w:tcPr>
            <w:tcW w:w="7745" w:type="dxa"/>
            <w:noWrap w:val="0"/>
            <w:vAlign w:val="center"/>
          </w:tcPr>
          <w:p>
            <w:pPr>
              <w:pStyle w:val="11"/>
              <w:pageBreakBefore w:val="0"/>
              <w:numPr>
                <w:ilvl w:val="0"/>
                <w:numId w:val="4"/>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通过对中心现有资金结算平台接口进行系统性建设，规范与各支付结算银行间的支付结算业务，提高支付结算效率、统一资金支付结算通道.</w:t>
            </w:r>
          </w:p>
          <w:p>
            <w:pPr>
              <w:pStyle w:val="11"/>
              <w:pageBreakBefore w:val="0"/>
              <w:numPr>
                <w:ilvl w:val="0"/>
                <w:numId w:val="4"/>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一类、二类卡的校验。通过14接口优化，在APP和柜台等渠道增加个人银行卡校验功能。</w:t>
            </w:r>
          </w:p>
          <w:p>
            <w:pPr>
              <w:pStyle w:val="11"/>
              <w:pageBreakBefore w:val="0"/>
              <w:numPr>
                <w:ilvl w:val="0"/>
                <w:numId w:val="4"/>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在质保期内，如有更新及其升级，中标单位应为公积金中心免费更新升级。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“免证办理”及“无纸化应用”</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通过前端刷脸、刷码、亮码、后端调用电子证照平台接口、赣服通接口、终端软件接口、可信身份认证接口要求获取资源库中的证照信息，实现“免证办理”的政务服务新模式。</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1）免证办理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通过完成与赣服通及其他电子政务平台对接等方式，实现证照数据资源的共享应用，同时结合刷脸、刷码、亮码等数字化便捷功能，企业和群众只需使用手机，或者“刷脸” 即可完成事项办理。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2）无纸化应用</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以现有电子档案系统和“免证办理”、数据共享应用为基础，结合业务流程优化，打造集业务受理、业务过程、互通互联信息固化于一体的无纸化办公体系，通过电子要件的高效利用，减少纸质文件的使用。</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结合无纸化业务办理场景，对业务系统采取有针对性的改造，实现可与业务系统无缝对接并实现摄像头、二维码识别、身份证识别、指纹识别、电子签名、银行卡读写功能应用。同时配合智能终端，完善免证及无纸化系统应用链。</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设备内容如下：</w:t>
            </w:r>
          </w:p>
          <w:tbl>
            <w:tblPr>
              <w:tblStyle w:val="9"/>
              <w:tblW w:w="0" w:type="auto"/>
              <w:tblInd w:w="93" w:type="dxa"/>
              <w:tblLayout w:type="fixed"/>
              <w:tblCellMar>
                <w:top w:w="0" w:type="dxa"/>
                <w:left w:w="108" w:type="dxa"/>
                <w:bottom w:w="0" w:type="dxa"/>
                <w:right w:w="108" w:type="dxa"/>
              </w:tblCellMar>
            </w:tblPr>
            <w:tblGrid>
              <w:gridCol w:w="1369"/>
              <w:gridCol w:w="4171"/>
              <w:gridCol w:w="827"/>
              <w:gridCol w:w="1010"/>
            </w:tblGrid>
            <w:tr>
              <w:tblPrEx>
                <w:tblCellMar>
                  <w:top w:w="0" w:type="dxa"/>
                  <w:left w:w="108" w:type="dxa"/>
                  <w:bottom w:w="0" w:type="dxa"/>
                  <w:right w:w="108" w:type="dxa"/>
                </w:tblCellMar>
              </w:tblPrEx>
              <w:trPr>
                <w:trHeight w:val="324" w:hRule="atLeast"/>
              </w:trPr>
              <w:tc>
                <w:tcPr>
                  <w:tcW w:w="136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设备名称</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性能参数</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总数量</w:t>
                  </w:r>
                </w:p>
              </w:tc>
            </w:tr>
            <w:tr>
              <w:tblPrEx>
                <w:tblCellMar>
                  <w:top w:w="0" w:type="dxa"/>
                  <w:left w:w="108" w:type="dxa"/>
                  <w:bottom w:w="0" w:type="dxa"/>
                  <w:right w:w="108" w:type="dxa"/>
                </w:tblCellMar>
              </w:tblPrEx>
              <w:trPr>
                <w:trHeight w:val="2526" w:hRule="atLeast"/>
              </w:trPr>
              <w:tc>
                <w:tcPr>
                  <w:tcW w:w="136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智能交互终端</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1)屏</w:t>
                  </w:r>
                  <w:r>
                    <w:rPr>
                      <w:rFonts w:hint="eastAsia" w:ascii="宋体" w:hAnsi="宋体" w:eastAsia="宋体" w:cs="宋体"/>
                      <w:color w:val="000000"/>
                      <w:kern w:val="0"/>
                      <w:sz w:val="24"/>
                      <w:szCs w:val="24"/>
                    </w:rPr>
                    <w:t>幕单元≥10</w:t>
                  </w:r>
                  <w:r>
                    <w:rPr>
                      <w:rFonts w:hint="eastAsia" w:ascii="宋体" w:hAnsi="宋体" w:eastAsia="宋体" w:cs="宋体"/>
                      <w:color w:val="000000"/>
                      <w:kern w:val="0"/>
                      <w:sz w:val="24"/>
                      <w:szCs w:val="24"/>
                      <w:lang w:bidi="ar"/>
                    </w:rPr>
                    <w:t>英寸，分辨率≥1920*1080，24位真彩色。</w:t>
                  </w:r>
                </w:p>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2)设备具备集成摄像头、身份证识别、指纹识别、电子签名、IC卡读写、二维码识别功能。</w:t>
                  </w:r>
                </w:p>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3)支持原笔迹签名回放、信息交互、身份识别、指纹识别、多媒体广告等多种成熟应用。</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ind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r>
          </w:tbl>
          <w:p>
            <w:pPr>
              <w:pStyle w:val="11"/>
              <w:pageBreakBefore w:val="0"/>
              <w:kinsoku/>
              <w:wordWrap/>
              <w:overflowPunct/>
              <w:topLinePunct w:val="0"/>
              <w:bidi w:val="0"/>
              <w:snapToGrid/>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政务数据共享应用</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与多个部门互联互通（其中包含7个部门20项数据整合，通过与工行、建行、中行对接获取职工商业银行还款明细），有效整合各相关部门的信息数据，同时结合系统适应性改造，保证共享的数据应用到各个业务场景制作，实现为业务的线上办、智能办、零材料、流程优化等赋能。进一步优化业务办理流程，转变政府职能，提升服务效率，带动公积金行业信息化发展。</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1）数据对接</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通过数据接口形式打通鹰潭市住房公积金管理中心与市级政务部门的信息壁垒，实现数据互通。在对接方式上，根据实际情况，灵活采用与大数据中心统一对接或单独对接两种方式。</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2）数据共享管理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数据共享管理在功能上包括用户管理、机构管理、接口管理、证书管理、统计分析、电子信息上报、不良记录管理等功能模块。采用通信加密、配置加密、节流控制、数字证书、访问控制、告警机制、实时统计、服务注册、缓存机制等技术，分别在程序处理的各阶段进行安全的控制与预防措施，为应用程序的稳定性和可靠性提供安全保障。</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3）数据应用</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在数据共享完成后，应针对业务实际需要，对现有电子档案系统及公积金业务流程进行优化，实现业务的便捷办理，有效避免缴存职工办理公积金业务时来回跑、反复提供资料等问题。</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4)在质保期内，如有更新及其升级，中标单位应为公积金中心免费更新升级。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360" w:type="dxa"/>
            <w:noWrap w:val="0"/>
            <w:vAlign w:val="center"/>
          </w:tcPr>
          <w:p>
            <w:pPr>
              <w:pStyle w:val="11"/>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贷款不见面审批</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利用电子签章、电子合同、视频面签等安全技术，结合互联互通，从方便缴存职工的角度优化流程、简化材料、确保安全的情况下，实现缴存人通过手机APP或者个人网厅申请贷款，从原有往返两次以上提升至一次不跑，提高群众满意度。</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1）线上贷款申请及资格校验</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通过对现有手机公积金APP、网厅等业务办理渠道的流程改造，实现职工可通过多渠道线上申请公积金贷款，同时结合数据共享应用实现贷款资格的自动校验与提醒等功能。</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2）线上审批</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贷款业务工作人员可在线审批已发起的贷款申请，支持对不同来源（个人上传、数据共享）的个人材料信息进行明显差异化展示，有效帮助工作人员重点验证贷款材料合规性。</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3）视频面签</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利用视频技术、电子签名等数字化，实现贷款职工与中心工作人员远程面谈、在线签名，并配备智能语音提示，提升贷款面签效率。</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4）应用支撑</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根据贷款不见面审批业务的实际需要，重点针对业务渠道、电子签章、电子档案、贷款业务功能流程等多个方面进行适配优化，保障贷款不见面审批流程各项功能使用正常，业务材料全程固化。</w:t>
            </w:r>
          </w:p>
          <w:p>
            <w:pPr>
              <w:pStyle w:val="11"/>
              <w:pageBreakBefore w:val="0"/>
              <w:numPr>
                <w:ilvl w:val="0"/>
                <w:numId w:val="2"/>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在质保期内，如有更新及其升级，中标单位应为公积金中心免费更新升级。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1360"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公积金业务专用电子签章应用</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1、实现接入江西统一电子印章系统，实现系统可使用电子签章技术</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结合电子签章数字化能力，实现公积金类柜台业务办理加签、流程审批时节点签名加盖等功能。系统运行后，汇补缴回单、个人缴存明细、提取业务确认单、缴款确认单、贷款结清证明、还款流水、贷款合同明细表等部分单位和职工高频使用项目可以直接打印盖章，全面提升公积金业务服务能力。</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3、接入江西统一身份认证系统，打通接口，实现在单位网厅上通过统一身份认证进行系统登录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1360"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综合服务平台改造</w:t>
            </w:r>
          </w:p>
        </w:tc>
        <w:tc>
          <w:tcPr>
            <w:tcW w:w="7745" w:type="dxa"/>
            <w:noWrap w:val="0"/>
            <w:vAlign w:val="center"/>
          </w:tcPr>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风险防空稽核子系统：在住房公积金信息系统“双贯标”的基础上，以“互联网+公积金”服务为导向建立的住房公积金管理平台。直观地查看不同时间公积金系统中存在的不符合标准的数据并督促业务部门对不合规数据进行整改，提高住房公积金管理中心的工作效率和服务质量。为住房公积金中心提供风控管理功能，提供风险发布、风险报送处置、整改分发、失信名单管理等管理能力输出；</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2、全业务流程管理：实现全业务流程化管理；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3、业务系统国产操作电脑适配：通过改造现有业务系统，实现业务系统可在公积金中心国产电脑中正常运行使用；</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4、智能客服：通过对所提交问题关键词组合、语义理解等技术，智能识别并快速响应缴存职工的问题，通过互动界面为缴存职工提供智能化办事指南和引导，指导进行业务办理；</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5、领导驾驶舱：通过管理视角对数据进行三维分析，支撑组织决策层“看全看透”、管理层“管全管透”、执行层“干全干透”，提高组织管理效率，促进业务发展。领导驾驶舱；</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6、接入鹰潭市赣政通平台，实现公积金信息查询、离退休提取的业务审批功能</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7、按照住建部标准对接全国住房公积金数据共享平台及住房公积金电子共享数据授权查询留痕项目。</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8、升级完善住房公积金微信小程序和住房公积金数据上报平台。</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9、增加业务系统绩效考核模块，可以针对柜台人员业务办理量等信息进行绩效考核</w:t>
            </w:r>
          </w:p>
          <w:p>
            <w:pPr>
              <w:pStyle w:val="11"/>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10、实现资金结算自动化，财务核算自动化，使得业务帐、财务帐、资金帐账账相符。</w:t>
            </w:r>
          </w:p>
        </w:tc>
      </w:tr>
    </w:tbl>
    <w:p>
      <w:pPr>
        <w:pStyle w:val="11"/>
        <w:pageBreakBefore w:val="0"/>
        <w:kinsoku/>
        <w:wordWrap/>
        <w:overflowPunct/>
        <w:topLinePunct w:val="0"/>
        <w:bidi w:val="0"/>
        <w:snapToGrid/>
        <w:spacing w:line="360" w:lineRule="auto"/>
        <w:rPr>
          <w:rFonts w:hint="eastAsia" w:ascii="宋体" w:hAnsi="宋体" w:eastAsia="宋体" w:cs="宋体"/>
          <w:sz w:val="24"/>
          <w:szCs w:val="24"/>
        </w:rPr>
      </w:pPr>
    </w:p>
    <w:p>
      <w:pPr>
        <w:pStyle w:val="3"/>
        <w:pageBreakBefore w:val="0"/>
        <w:numPr>
          <w:ilvl w:val="0"/>
          <w:numId w:val="1"/>
        </w:numPr>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项目质量要求</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（1）项目组织与人员</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供应商必须成立合理的项目机构，制定合理的人力资源配置方案。建立健全保障项目顺利实施的各项管理制度和质量保证体系。</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根据项目实施工作的业务性质，应配备经验丰富的人员承担本项目工作。</w:t>
      </w:r>
    </w:p>
    <w:p>
      <w:pPr>
        <w:pageBreakBefore w:val="0"/>
        <w:kinsoku/>
        <w:wordWrap/>
        <w:overflowPunct/>
        <w:topLinePunct w:val="0"/>
        <w:bidi w:val="0"/>
        <w:snapToGrid/>
        <w:spacing w:line="360" w:lineRule="auto"/>
        <w:ind w:firstLine="56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服务团队大于等于10人，项目经理要在现场负责直至项目上线。</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（2）项目实施保密要求</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中标供应商在入场前应和采购方签署相应保密协议，中标供应商应与参与本服务项目的人员签订保密协议。</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（3）项目培训要求</w:t>
      </w:r>
    </w:p>
    <w:p>
      <w:pPr>
        <w:pageBreakBefore w:val="0"/>
        <w:kinsoku/>
        <w:wordWrap/>
        <w:overflowPunct/>
        <w:topLinePunct w:val="0"/>
        <w:bidi w:val="0"/>
        <w:snapToGrid/>
        <w:spacing w:line="360" w:lineRule="auto"/>
        <w:ind w:firstLine="56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提供详细的培训方案，对中心及所有相关人员进行不少于两轮的培训，保证所有参加培训人员及时、准确的了解系统。对各自岗位对应的功能经过两轮培训后实现熟练操作。</w:t>
      </w:r>
      <w:r>
        <w:rPr>
          <w:rFonts w:hint="eastAsia" w:ascii="宋体" w:hAnsi="宋体" w:cs="宋体"/>
          <w:color w:val="000000"/>
          <w:sz w:val="24"/>
          <w:szCs w:val="24"/>
          <w:lang w:eastAsia="zh-CN"/>
        </w:rPr>
        <w:t>培训后应进行考核，考核通过率不低于</w:t>
      </w:r>
      <w:r>
        <w:rPr>
          <w:rFonts w:hint="eastAsia" w:ascii="宋体" w:hAnsi="宋体" w:cs="宋体"/>
          <w:color w:val="000000"/>
          <w:sz w:val="24"/>
          <w:szCs w:val="24"/>
          <w:lang w:val="en-US" w:eastAsia="zh-CN"/>
        </w:rPr>
        <w:t>90%。</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（4）风险检测要求</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因本项目采购内容涉及中心重要业务数据，系统实施过程中均需要进行充分的风险检测，中标人应具备动态风险检测能力，主动、提前对项目风险进行防控及处理。</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（5）项目验收</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验收程序：由采购单位按照项目需求验收。验收依据包括：招投标文件、合同文件，以及用户需求说明书。</w:t>
      </w:r>
    </w:p>
    <w:p>
      <w:pPr>
        <w:pageBreakBefore w:val="0"/>
        <w:kinsoku/>
        <w:wordWrap/>
        <w:overflowPunct/>
        <w:topLinePunct w:val="0"/>
        <w:bidi w:val="0"/>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（6）无缝衔接要求</w:t>
      </w:r>
    </w:p>
    <w:p>
      <w:pPr>
        <w:pageBreakBefore w:val="0"/>
        <w:kinsoku/>
        <w:wordWrap/>
        <w:overflowPunct/>
        <w:topLinePunct w:val="0"/>
        <w:bidi w:val="0"/>
        <w:snapToGrid/>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为保证系统的稳定性、兼容性、一致性</w:t>
      </w:r>
      <w:r>
        <w:rPr>
          <w:rFonts w:hint="eastAsia" w:ascii="宋体" w:hAnsi="宋体" w:cs="宋体"/>
          <w:sz w:val="24"/>
          <w:szCs w:val="24"/>
          <w:lang w:eastAsia="zh-CN"/>
        </w:rPr>
        <w:t>，</w:t>
      </w:r>
      <w:r>
        <w:rPr>
          <w:rFonts w:hint="eastAsia" w:ascii="宋体" w:hAnsi="宋体" w:eastAsia="宋体" w:cs="宋体"/>
          <w:sz w:val="24"/>
          <w:szCs w:val="24"/>
        </w:rPr>
        <w:t>本项目必须在中心现有公积金核心业务系统的基础上进行开发，并能保证服务无缝衔接，各项业务逻辑能够与现有系统进行相互校验，保证系统平稳运行。涉及到对现有现有公积金核心业务系统进行改造或接口开发的，以及涉及协调现有公积金核心业务系统开发商配合的一切事宜，均由成交供应商和现有公积金核心业务系统开发商协商解决，所产生的全部费用，由成交供应商负责。此过程中不得影响现有公积金核心业务系统业务的正常进行，否则成交供应商将承担相关的违约责任，造成损失的，由成交供应商进行赔偿。供应商应附相关承诺</w:t>
      </w:r>
      <w:r>
        <w:rPr>
          <w:rFonts w:hint="eastAsia" w:ascii="宋体" w:hAnsi="宋体" w:cs="宋体"/>
          <w:sz w:val="24"/>
          <w:szCs w:val="24"/>
          <w:lang w:eastAsia="zh-CN"/>
        </w:rPr>
        <w:t>及无缝对接方案</w:t>
      </w:r>
      <w:r>
        <w:rPr>
          <w:rFonts w:hint="eastAsia" w:ascii="宋体" w:hAnsi="宋体" w:eastAsia="宋体" w:cs="宋体"/>
          <w:sz w:val="24"/>
          <w:szCs w:val="24"/>
        </w:rPr>
        <w:t>于响应文件中。</w:t>
      </w:r>
    </w:p>
    <w:p>
      <w:pPr>
        <w:pageBreakBefore w:val="0"/>
        <w:kinsoku/>
        <w:wordWrap/>
        <w:overflowPunct/>
        <w:topLinePunct w:val="0"/>
        <w:bidi w:val="0"/>
        <w:snapToGrid/>
        <w:spacing w:line="360" w:lineRule="auto"/>
        <w:ind w:firstLine="56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）中标人应负责采购人将信息系统上政务云的迁移工作。</w:t>
      </w:r>
    </w:p>
    <w:p>
      <w:pPr>
        <w:pageBreakBefore w:val="0"/>
        <w:kinsoku/>
        <w:wordWrap/>
        <w:overflowPunct/>
        <w:topLinePunct w:val="0"/>
        <w:bidi w:val="0"/>
        <w:snapToGrid/>
        <w:spacing w:line="360" w:lineRule="auto"/>
        <w:ind w:firstLine="560"/>
        <w:rPr>
          <w:rFonts w:hint="eastAsia" w:ascii="宋体" w:hAnsi="宋体" w:eastAsia="宋体" w:cs="宋体"/>
          <w:strike/>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在签订合同后，采购人有权验证中标人在15天内完成与现有业务系统及鹰潭市大数据中心对接服务能力，并实现智能交互终端的刷脸、刷码、亮码等数字化便捷功能，否则将被认为其提供虚假承诺谋取中标，按照《政府采购法》等法律法规进行处理。各投标方均需在标书中对此进行承诺。</w:t>
      </w:r>
    </w:p>
    <w:p>
      <w:pPr>
        <w:pStyle w:val="3"/>
        <w:pageBreakBefore w:val="0"/>
        <w:numPr>
          <w:ilvl w:val="0"/>
          <w:numId w:val="1"/>
        </w:numPr>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软件开发工程量及第三方成熟软件</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5.1软件开发工程量</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8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37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系统/模块名称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征信信息共享应用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单位开户数据整理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单位汇缴数据整理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单位补缴数据整理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单位托收数据整理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单位封存、启封数据整理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单位信息变更数据整理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单位缴存基数数据整理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个人贷款申请数据整理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个人贷款批量还款数据整理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个人贷款提前还款数据整理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个人贷款信息变更数据整理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个人基本信息整理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非循环贷账户数据整理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抵（质）押合同信息数据整理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征信信息共享授权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征信信息查询授权（柜台授权）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征信信息查询授权（APP授权）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征信数据报送授权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其它授权服务：授权查询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其它授权服务：个人授权解除服务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征信数据报送授权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数据错误处理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数据格式校验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数据勾稽关系校验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获取个人征信数据,形成人行征信样式报告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个人征信数据柜台贷款业务运用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个人征信数据APP贷款业务运用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个人征信数据APP提取业务运用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企业征信信息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企业缴存征信数据抽取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个人缴存征信数据抽取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个人贷款征信数据抽取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个人担保交易征信数据抽取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抵（质）押物葬心数据抽取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征信报文解析接口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征信查询参数设置接口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职工信息查询查询接口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个人征信查询报文查询接口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征信反馈报文查询 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企业征信信息查询接口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个人缴存信息查询接口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个人贷款征信数据接口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个人担保交易接口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抵（质）押物信息接口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公积金业务数据监管应用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139个动态监管数据指标抽取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139个动态监管数据指标上传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42个风险控制数据指标抽取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42个风险控制数据指标上传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48个综合服务数据指标抽取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48个综合服务数据指标上传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公积金数据互认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异地公积金贷款信息查询接口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异地转移接续接口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异地贷款缴存证明接口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异地贷款缴存证明回执接口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个人信息核查接口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个人公积金信息查询接口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单位公积金缴存信息查询接口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电子化稽查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对照表设置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风险项设置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问题下发整改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白名单管理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检查结果导出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公积金业务一网通办应用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一窗平台受理的公积业务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借款人还款卡号变更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个人账户设立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提前结清贷款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购商品房组合贷款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购二手房贷款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行政事业单位缴存登记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一年一次提取偿还公积金住房贷款本息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借款人手机号码变更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大修自住住房提取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大修自住住房贷款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购买拆迁安置房贷款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建造自住住房贷款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购商品房现房抵押贷款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购商品房期房抵押贷款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租赁廉租、公共租赁住房提取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租赁普通自住住房提取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建造、翻建自住住房提取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购二手房提取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借款人婚姻关系变更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与单位终止劳动关系提取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完全或部分丧失劳动能力的提取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职工死亡或被宣告死亡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购买商品房提取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出境定居提取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提前部分还本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企业缴存登记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一窗式综合服务平台接口开发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获取业务详细信息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获取服务清单信息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获取服务对象信息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获取表单信息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接收业务受理信息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接收特殊程序信息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接收补正告知信息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接收业务办结信息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接收网上申报业务信息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接收业务信息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接收证照签收信息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查看业务材料批复情况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获取一窗已配置通知书模板信息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一窗通知书接收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公积金业务资金结算应用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修改报文头格式定义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交易超时时间修改为 30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请求信息新增 6 个备用字段（除接口探测及签到、签退交易），返回信息新增 2个备用字段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支持分页查询，报文头新增分页查询字段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BDC101 、BDC102 银行返回报文中主机状态，新增 2 个状态 4、失败 5、交易结果不确定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增加联行号模糊查询 BDC200 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根据《住房公积金基础数据标准》，修改接口中账户户名的长度，由原来的 60 位改为 255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部分提取业务结算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销户提取业务结算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贷款发放业务结算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贷款批扣业务结算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贷款提前还款业务结算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资金调拨业务结算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交易明细业务查询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“免证办理”及“无纸化应用”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免证办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扫码亮证个人门户登录应用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赣通码亮码个人门户登录应用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扫脸认证个人门户登录应用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单位开户证照应用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单位信息变更证照应用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缴存人登记证照应用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缴存人信息变更证照应用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缴存人单位调整证照应用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购买住房提取证照应用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偿还购房贷款本息（公积金贷款）提取证照应用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偿还购房贷款本息（商贷）提取证照应用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建造、翻建、大修住房提取证照应用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租房提取证照应用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大病医疗提取证照应用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房租超出家庭工资收入的规定比例提取证照应用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偿还房贷结清提取证照应用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既有住宅加装电梯提取证照应用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离休、退休提取证照应用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完全丧失劳动能力，并与单位终止劳动关系提取证照应用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户口迁出所在市、县或出境定居提取证照应用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死亡提取证照应用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贷款申请（个贷受理）证照应用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签约对冲还贷证照应用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还款账号变更证照应用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借款人信息变更证照应用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婚姻变更证照应用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提前还本证照应用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提前还清证照应用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与业务系统无缝对接并实现摄像头、二维码识别、身份证识别、指纹识别、电子签名、银行卡读写功能应用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政务数据共享应用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对接鹰潭市大数据中心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个人身份信息查询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流动人口信息查询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个人照片信息查询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民政婚姻信息查询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民政低保信息查询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民政殡葬信息查询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不动产权证信息查询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土地或在建工程抵押情况信息查询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二手房交易信息查询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商品房买卖网签合同登记备案证明书信息查询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商品房买卖网签合同撤销备案信息查询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廉租房信息查询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建设工程规划许可证信息查询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建设用地规划许可证信息查询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建筑工程施工许可证信息查询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商品房预售许可证信息查询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企业工商登记信息查询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企业社保缴纳信息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死亡医学证明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共享数据场景应用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缴存人登记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自愿缴存者登记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购买商品房提取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购买二手房提取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租赁商品房提取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缴存单位登记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缴存单位变更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租房提取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开发商登记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缴存人基数调整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数据共享管理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电子信息上报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不良信息处理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服务路由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访问授权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贷款不见面审批应用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手机公积金APP渠道改造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手机公积金APP借款人信息录入功能模块的增加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手机公积金APP共同借款人信息录入功能模块的增加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手机公积金APP购房信息录入功能模块的增加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手机公积金APP贷款信息录入功能模块的增加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手机公积金APP抵押担保信息录入功能模块的增加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手机公积金APP贷款申请涉及的打印功能增加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手机公积金APP贷款申请涉及的流程发起功能的增加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手机公积金APP个人互联互通信息查询授权功能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手机公积金APP个人身份证OCR识别功能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手机公积金APP银行卡OCR识别功能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手机公积金APP借款人贷款申请时个人身份人脸识别功能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档案的扫描功能修改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档案的查看功能修改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贷款申请短信功能修改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增加贷款申请退回至我的待办业务中，并包含动账通知提醒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增加贷款申请至我的已办业务中，并包含动账通知提醒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可显示APP贷款业务办理的进度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网厅渠道（个人网厅与开发商网厅）借款人信息录入功能模块的增加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网厅渠道（个人网厅与开发商网厅）共同借款人信息录入功能模块的增加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网厅渠道（个人网厅与开发商网厅）购房信息录入功能模块的增加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网厅渠道（个人网厅与开发商网厅）贷款信息录入功能模块的增加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网厅渠道（个人网厅与开发商网厅）抵押担保信息录入功能模块的增加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网厅渠道（个人网厅与开发商网厅）贷款申请涉及的打印功能增加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网厅渠道（个人网厅与开发商网厅）贷款申请涉及的流程发起功能的增加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网厅渠道（个人网厅与开发商网厅）个人互联互通信息查询授权功能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网厅渠道（个人网厅与开发商网厅）个人身份证OCR识别功能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网厅渠道（个人网厅与开发商网厅）银行卡OCR识别功能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网厅渠道（个人网厅与开发商网厅）借款人贷款申请时个人身份人脸识别功能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档案的扫描功能修改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档案的查看功能修改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贷款申请短信功能修改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增加贷款申请退回至我的待办业务中，并包含动账通知提醒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增加贷款申请至我的已办业务中，并包含动账通知提醒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可显示网厅和开发商网厅贷款业务办理的进度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核心业务系统改造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借款人信息涉及的输入、输出和业务规则调整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共同借款人信息涉及的输入输出和业务规则调整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购房信息涉及的输入输出和业务规则调整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贷款信息涉及的输入输出和业务规则调整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抵押担保信息涉及的输入输出和业务规则调整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贷款申请涉及的打印功能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贷款申请涉及的流程发起功能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个人互联互通信息查询授权功能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个人身份证OCR识别功能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银行卡OCR识别功能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档案的扫描功能修改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档案的查看功能修改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贷款申请短信功能修改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贷款初审功能页面和流程改造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管理部主任审批功能页面和流程改造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信贷科长审批功能页面和流程改造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抵押功能的改造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贷款查询功能和页面的改造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面签系统-系统监控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面签系统-面签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面签系统-统计分析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面签app端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电子文件及元数据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电子档案资源的共享利用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电子档案的独立存储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电子档案的收集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网上业务的档案收集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文件上传及查看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共享电子证照管理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电子凭证固化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数据固化留痕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7.5.10</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文本识别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档案的全流程管理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电子档案的关联查询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电子档案的借阅流程管理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电子档案管理的状态预警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公积金业务专用电子签章应用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柜台、APP渠道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实现汇补缴回单签章和电子凭证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实现个人缴存明细签章和电子凭证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实现提取凭证签章和电子凭证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实现贷款结清证明签章和电子凭证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实现还款流水签章和电子凭证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8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实现提前还款签章和电子凭证</w:t>
            </w:r>
          </w:p>
        </w:tc>
      </w:tr>
    </w:tbl>
    <w:p>
      <w:pPr>
        <w:pStyle w:val="2"/>
        <w:rPr>
          <w:rFonts w:hint="eastAsia" w:ascii="宋体" w:hAnsi="宋体" w:eastAsia="宋体" w:cs="宋体"/>
          <w:sz w:val="24"/>
          <w:szCs w:val="24"/>
          <w:lang w:eastAsia="zh-CN"/>
        </w:rPr>
      </w:pPr>
    </w:p>
    <w:p>
      <w:pPr>
        <w:pStyle w:val="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5.2第三方外购成熟软件</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3"/>
        <w:gridCol w:w="4234"/>
        <w:gridCol w:w="1683"/>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产品/服务名称</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电子签章系统</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电子签署服务</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标准企业证书</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视频双录服务</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bl>
    <w:p>
      <w:pPr>
        <w:pStyle w:val="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5.3硬件设备</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9"/>
        <w:gridCol w:w="2138"/>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atLeast"/>
        </w:trPr>
        <w:tc>
          <w:tcPr>
            <w:tcW w:w="5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设备系统名称</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智能交付终端</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C536A"/>
    <w:multiLevelType w:val="singleLevel"/>
    <w:tmpl w:val="A00C536A"/>
    <w:lvl w:ilvl="0" w:tentative="0">
      <w:start w:val="1"/>
      <w:numFmt w:val="decimal"/>
      <w:suff w:val="nothing"/>
      <w:lvlText w:val="%1、"/>
      <w:lvlJc w:val="left"/>
    </w:lvl>
  </w:abstractNum>
  <w:abstractNum w:abstractNumId="1">
    <w:nsid w:val="E28811CC"/>
    <w:multiLevelType w:val="singleLevel"/>
    <w:tmpl w:val="E28811CC"/>
    <w:lvl w:ilvl="0" w:tentative="0">
      <w:start w:val="5"/>
      <w:numFmt w:val="decimal"/>
      <w:suff w:val="space"/>
      <w:lvlText w:val="%1)"/>
      <w:lvlJc w:val="left"/>
    </w:lvl>
  </w:abstractNum>
  <w:abstractNum w:abstractNumId="2">
    <w:nsid w:val="F7C33037"/>
    <w:multiLevelType w:val="singleLevel"/>
    <w:tmpl w:val="F7C33037"/>
    <w:lvl w:ilvl="0" w:tentative="0">
      <w:start w:val="1"/>
      <w:numFmt w:val="chineseCounting"/>
      <w:suff w:val="nothing"/>
      <w:lvlText w:val="%1、"/>
      <w:lvlJc w:val="left"/>
      <w:rPr>
        <w:rFonts w:hint="eastAsia"/>
      </w:rPr>
    </w:lvl>
  </w:abstractNum>
  <w:abstractNum w:abstractNumId="3">
    <w:nsid w:val="30D8580C"/>
    <w:multiLevelType w:val="singleLevel"/>
    <w:tmpl w:val="30D8580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DYyMDIxZWU3ZWI2MDMxMzFkZjU5YmVlODljYWIifQ=="/>
  </w:docVars>
  <w:rsids>
    <w:rsidRoot w:val="245C5669"/>
    <w:rsid w:val="245C5669"/>
    <w:rsid w:val="265D2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100" w:beforeLines="0" w:beforeAutospacing="0" w:after="100" w:afterLines="0" w:afterAutospacing="0" w:line="360" w:lineRule="auto"/>
      <w:ind w:firstLine="0" w:firstLineChars="0"/>
      <w:jc w:val="both"/>
      <w:outlineLvl w:val="0"/>
    </w:pPr>
    <w:rPr>
      <w:rFonts w:ascii="Times New Roman" w:hAnsi="Times New Roman" w:eastAsia="宋体" w:cs="Times New Roman"/>
      <w:b/>
      <w:kern w:val="44"/>
      <w:sz w:val="32"/>
      <w:szCs w:val="24"/>
      <w:lang w:val="en-US" w:eastAsia="zh-CN" w:bidi="ar-SA"/>
    </w:rPr>
  </w:style>
  <w:style w:type="paragraph" w:styleId="4">
    <w:name w:val="heading 2"/>
    <w:next w:val="1"/>
    <w:qFormat/>
    <w:uiPriority w:val="0"/>
    <w:pPr>
      <w:keepNext/>
      <w:keepLines/>
      <w:widowControl w:val="0"/>
      <w:autoSpaceDE w:val="0"/>
      <w:autoSpaceDN w:val="0"/>
      <w:adjustRightInd w:val="0"/>
      <w:spacing w:before="120" w:line="300" w:lineRule="auto"/>
      <w:jc w:val="center"/>
      <w:outlineLvl w:val="1"/>
    </w:pPr>
    <w:rPr>
      <w:rFonts w:ascii="Arial" w:hAnsi="Arial" w:eastAsia="黑体" w:cs="Times New Roman"/>
      <w:b/>
      <w:kern w:val="0"/>
      <w:sz w:val="30"/>
      <w:szCs w:val="20"/>
      <w:lang w:val="en-US" w:eastAsia="zh-CN" w:bidi="ar-SA"/>
    </w:rPr>
  </w:style>
  <w:style w:type="paragraph" w:styleId="5">
    <w:name w:val="heading 3"/>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firstLineChars="0"/>
      <w:jc w:val="left"/>
      <w:outlineLvl w:val="3"/>
    </w:pPr>
    <w:rPr>
      <w:rFonts w:hint="eastAsia" w:ascii="Arial" w:hAnsi="Arial"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Plain Text"/>
    <w:basedOn w:val="1"/>
    <w:uiPriority w:val="0"/>
    <w:rPr>
      <w:rFonts w:ascii="宋体" w:hAnsi="Courier New"/>
    </w:rPr>
  </w:style>
  <w:style w:type="paragraph" w:styleId="8">
    <w:name w:val="Body Text First Indent"/>
    <w:qFormat/>
    <w:uiPriority w:val="0"/>
    <w:pPr>
      <w:widowControl w:val="0"/>
      <w:tabs>
        <w:tab w:val="left" w:pos="567"/>
      </w:tabs>
      <w:spacing w:before="120" w:after="0" w:line="22" w:lineRule="atLeast"/>
      <w:ind w:firstLine="420" w:firstLineChars="100"/>
      <w:jc w:val="both"/>
    </w:pPr>
    <w:rPr>
      <w:rFonts w:ascii="宋体" w:hAnsi="宋体" w:eastAsia="宋体" w:cs="Times New Roman"/>
      <w:kern w:val="2"/>
      <w:sz w:val="24"/>
      <w:szCs w:val="24"/>
      <w:lang w:val="en-US" w:eastAsia="zh-CN" w:bidi="ar-SA"/>
    </w:rPr>
  </w:style>
  <w:style w:type="paragraph" w:customStyle="1" w:styleId="11">
    <w:name w:val="Default"/>
    <w:qFormat/>
    <w:uiPriority w:val="0"/>
    <w:pPr>
      <w:widowControl w:val="0"/>
      <w:autoSpaceDE w:val="0"/>
      <w:autoSpaceDN w:val="0"/>
      <w:adjustRightInd w:val="0"/>
    </w:pPr>
    <w:rPr>
      <w:rFonts w:ascii="Symbol" w:hAnsi="Symbol" w:eastAsia="宋体" w:cs="Symbo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2023-08-15T07:44:00Z</dcterms:created>
  <dc:creator>Christopher</dc:creator>
  <cp:lastModifiedBy>Christopher</cp:lastModifiedBy>
  <dcterms:modified xsi:type="dcterms:W3CDTF">2023-08-15T07:52:58Z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9D837C3B99E74D42B1F5D217CA1FAAC4_11</vt:lpwstr>
  </property>
</Properties>
</file>