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1D01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信息系统等级保护测评项目</w:t>
      </w:r>
      <w:r>
        <w:rPr>
          <w:rFonts w:hint="eastAsia" w:ascii="方正小标宋简体" w:hAnsi="方正小标宋简体" w:eastAsia="方正小标宋简体" w:cs="方正小标宋简体"/>
          <w:sz w:val="44"/>
          <w:szCs w:val="44"/>
          <w:lang w:val="en-US" w:eastAsia="zh-CN"/>
        </w:rPr>
        <w:t>采购需求</w:t>
      </w:r>
    </w:p>
    <w:p w14:paraId="67653BDF">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根据《中华人民共和国网络安全法》相关规定，上级部门相关考核要求，需开展信息系统等级保护测评工作，信息系统等级保护测评项目服务要求如下：</w:t>
      </w:r>
    </w:p>
    <w:p w14:paraId="3F3F951C">
      <w:pPr>
        <w:rPr>
          <w:rFonts w:hint="eastAsia" w:ascii="仿宋" w:hAnsi="仿宋" w:eastAsia="仿宋" w:cs="仿宋"/>
          <w:sz w:val="30"/>
          <w:szCs w:val="30"/>
          <w:lang w:eastAsia="zh-CN"/>
        </w:rPr>
      </w:pPr>
      <w:r>
        <w:rPr>
          <w:rFonts w:hint="eastAsia" w:ascii="仿宋" w:hAnsi="仿宋" w:eastAsia="仿宋" w:cs="仿宋"/>
          <w:sz w:val="30"/>
          <w:szCs w:val="30"/>
          <w:lang w:eastAsia="zh-CN"/>
        </w:rPr>
        <w:t>一、技术服务范围、内容</w:t>
      </w:r>
    </w:p>
    <w:p w14:paraId="27049E2C">
      <w:pPr>
        <w:numPr>
          <w:ilvl w:val="0"/>
          <w:numId w:val="1"/>
        </w:numPr>
        <w:rPr>
          <w:rFonts w:hint="eastAsia" w:ascii="仿宋" w:hAnsi="仿宋" w:eastAsia="仿宋" w:cs="仿宋"/>
          <w:sz w:val="30"/>
          <w:szCs w:val="30"/>
          <w:lang w:eastAsia="zh-CN"/>
        </w:rPr>
      </w:pPr>
      <w:r>
        <w:rPr>
          <w:rFonts w:hint="eastAsia" w:ascii="仿宋" w:hAnsi="仿宋" w:eastAsia="仿宋" w:cs="仿宋"/>
          <w:sz w:val="30"/>
          <w:szCs w:val="30"/>
          <w:lang w:eastAsia="zh-CN"/>
        </w:rPr>
        <w:t>技术服务范围：</w:t>
      </w:r>
    </w:p>
    <w:p w14:paraId="7AAD4276">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eastAsia="zh-CN"/>
        </w:rPr>
        <w:t>服务对象包括：</w:t>
      </w:r>
      <w:r>
        <w:rPr>
          <w:rFonts w:hint="eastAsia" w:ascii="仿宋" w:hAnsi="仿宋" w:eastAsia="仿宋" w:cs="仿宋"/>
          <w:sz w:val="30"/>
          <w:szCs w:val="30"/>
          <w:lang w:val="en-US" w:eastAsia="zh-CN"/>
        </w:rPr>
        <w:t>2个信息系统</w:t>
      </w:r>
    </w:p>
    <w:p w14:paraId="47B1E97B">
      <w:pPr>
        <w:numPr>
          <w:ilvl w:val="0"/>
          <w:numId w:val="2"/>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公积金管理系统（三级）</w:t>
      </w:r>
    </w:p>
    <w:p w14:paraId="48FB5162">
      <w:pPr>
        <w:numPr>
          <w:ilvl w:val="0"/>
          <w:numId w:val="2"/>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官方网站（二级）</w:t>
      </w:r>
    </w:p>
    <w:p w14:paraId="75581B6B">
      <w:pPr>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（2）技术服务内容：</w:t>
      </w:r>
    </w:p>
    <w:p w14:paraId="72133978">
      <w:pPr>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等级保护测评：安全物理环境测评、安全通信网络测评、安全区域边界测评、安全计算环境测评、安全管理中心测评、安全管理制度测评、安全管理机构测评、安全人员管理测评、安全建设管理测评、安全运维管理测评、漏洞扫描、渗透测试、安全培训、应急演练（实景演练）</w:t>
      </w:r>
      <w:r>
        <w:rPr>
          <w:rFonts w:hint="eastAsia" w:ascii="仿宋" w:hAnsi="仿宋" w:eastAsia="仿宋" w:cs="仿宋"/>
          <w:sz w:val="30"/>
          <w:szCs w:val="30"/>
          <w:lang w:eastAsia="zh-CN"/>
        </w:rPr>
        <w:t>、</w:t>
      </w:r>
      <w:r>
        <w:rPr>
          <w:rFonts w:hint="eastAsia" w:ascii="仿宋" w:hAnsi="仿宋" w:eastAsia="仿宋" w:cs="仿宋"/>
          <w:sz w:val="30"/>
          <w:szCs w:val="30"/>
        </w:rPr>
        <w:t>应急响应服务等。</w:t>
      </w:r>
    </w:p>
    <w:p w14:paraId="22D038DE">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风险评估：对主机、网络设备、数据库和中间件进行了评估，识别了潜在的技术漏洞，检测身份认证、访问权限控制、传输安全等方面的问题；从物理环境、通信与操作管理、访问控制、系统开发与维护、业务连续性等方面进行了技术管理评估；对安全策略、组织安全、资产分类与控制、人员安全等方面进行了组织管理评估等</w:t>
      </w:r>
    </w:p>
    <w:p w14:paraId="6FA22EA7">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3.其他服务内容：具体以网络信息科提出的要求为准。</w:t>
      </w:r>
    </w:p>
    <w:p w14:paraId="7B12FB80">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二、技术服务费及服务期限</w:t>
      </w:r>
    </w:p>
    <w:p w14:paraId="0C63CE5C">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1.技术服务费：以最终中标金额为准</w:t>
      </w:r>
    </w:p>
    <w:p w14:paraId="16A0CE2F">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2.支付方式：完成服务内容，出具相关报告并通过验收后20个工作日内按中标金额支付。</w:t>
      </w:r>
    </w:p>
    <w:p w14:paraId="7642969E">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3.服务期限：一年，根据网络信息科对当年的技术服务验收情况以及上级主管部门的相关要求，</w:t>
      </w:r>
      <w:bookmarkStart w:id="0" w:name="_GoBack"/>
      <w:bookmarkEnd w:id="0"/>
      <w:r>
        <w:rPr>
          <w:rFonts w:hint="eastAsia" w:ascii="仿宋" w:hAnsi="仿宋" w:eastAsia="仿宋" w:cs="仿宋"/>
          <w:sz w:val="30"/>
          <w:szCs w:val="30"/>
          <w:lang w:val="en-US" w:eastAsia="zh-CN"/>
        </w:rPr>
        <w:t>决定是否继续服务。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34BA"/>
    <w:multiLevelType w:val="singleLevel"/>
    <w:tmpl w:val="A06434BA"/>
    <w:lvl w:ilvl="0" w:tentative="0">
      <w:start w:val="1"/>
      <w:numFmt w:val="decimal"/>
      <w:suff w:val="nothing"/>
      <w:lvlText w:val="（%1）"/>
      <w:lvlJc w:val="left"/>
    </w:lvl>
  </w:abstractNum>
  <w:abstractNum w:abstractNumId="1">
    <w:nsid w:val="F708B59B"/>
    <w:multiLevelType w:val="singleLevel"/>
    <w:tmpl w:val="F708B59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VjYzM0NjhlYjZkZjQ3NGEzYzgwZmQwNjJmM2YifQ=="/>
  </w:docVars>
  <w:rsids>
    <w:rsidRoot w:val="502277CA"/>
    <w:rsid w:val="502277CA"/>
    <w:rsid w:val="6FC7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549</Words>
  <Characters>556</Characters>
  <Lines>0</Lines>
  <Paragraphs>0</Paragraphs>
  <TotalTime>42</TotalTime>
  <ScaleCrop>false</ScaleCrop>
  <LinksUpToDate>false</LinksUpToDate>
  <CharactersWithSpaces>556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2024-11-29T02:26:00Z</dcterms:created>
  <dc:creator>弱水三千</dc:creator>
  <cp:lastModifiedBy>弱水三千</cp:lastModifiedBy>
  <dcterms:modified xsi:type="dcterms:W3CDTF">2024-11-29T07:25:43Z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8147BC0C722045DE948CD3A4972A0926_11</vt:lpwstr>
  </property>
</Properties>
</file>