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56CFAA">
      <w:pPr>
        <w:widowControl/>
        <w:spacing w:line="600" w:lineRule="exact"/>
        <w:jc w:val="center"/>
        <w:outlineLvl w:val="0"/>
        <w:rPr>
          <w:rFonts w:hint="eastAsia" w:ascii="宋体" w:hAnsi="宋体" w:cs="宋体"/>
          <w:b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宋体" w:hAnsi="宋体" w:cs="宋体"/>
          <w:b/>
          <w:sz w:val="44"/>
          <w:szCs w:val="44"/>
          <w:lang w:val="en-US" w:eastAsia="zh-CN"/>
        </w:rPr>
        <w:t>第三部分  2024年度单位决算情况说明</w:t>
      </w:r>
    </w:p>
    <w:p w14:paraId="46713F33">
      <w:pPr>
        <w:ind w:firstLine="630"/>
        <w:jc w:val="left"/>
        <w:rPr>
          <w:rFonts w:hint="eastAsia" w:ascii="仿宋_GB2312" w:hAnsi="仿宋_GB2312" w:eastAsia="仿宋_GB2312"/>
          <w:sz w:val="30"/>
          <w:szCs w:val="30"/>
          <w:lang w:val="en-US" w:eastAsia="zh-CN"/>
        </w:rPr>
      </w:pPr>
    </w:p>
    <w:p w14:paraId="23B2AE7E">
      <w:pPr>
        <w:ind w:firstLine="630"/>
        <w:jc w:val="left"/>
        <w:outlineLvl w:val="1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一、收入决算情况说明</w:t>
      </w:r>
    </w:p>
    <w:p w14:paraId="03093854">
      <w:pPr>
        <w:ind w:firstLine="640" w:firstLineChars="200"/>
        <w:jc w:val="left"/>
        <w:rPr>
          <w:rFonts w:hint="eastAsia"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本单位2024年度收入总计1891.79万元，其中年初结转和结余569.27万元，比上年增加569.27万元；使用非财政拨款结余(含专用结余）0.00万元，与上年持平；本年收入合计1322.51万元，比上年减少80.93万元，下降5.77%，主要原因：</w:t>
      </w:r>
      <w:r>
        <w:rPr>
          <w:rFonts w:hint="eastAsia" w:ascii="仿宋_GB2312" w:hAnsi="仿宋" w:eastAsia="仿宋_GB2312"/>
          <w:sz w:val="32"/>
          <w:szCs w:val="32"/>
          <w:highlight w:val="none"/>
          <w:lang w:val="en-US" w:eastAsia="zh-CN"/>
        </w:rPr>
        <w:t>按照发展实际需要开支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。</w:t>
      </w:r>
    </w:p>
    <w:p w14:paraId="5D9975BD">
      <w:pPr>
        <w:ind w:firstLine="640" w:firstLineChars="200"/>
        <w:jc w:val="left"/>
        <w:rPr>
          <w:rFonts w:hint="eastAsia"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 xml:space="preserve">本年收入的具体构成：财政拨款收入1315.30万元，占99.45%；事业收入7.21万元，占0.55%；经营收入0.00万元，占0.00%；上级补助收入0.00万元，占0.00%；附属单位上缴收入0.00万元，占0.00%；其他收入0.00万元，占0.00%。  </w:t>
      </w:r>
    </w:p>
    <w:p w14:paraId="29384F93">
      <w:pPr>
        <w:ind w:firstLine="630"/>
        <w:jc w:val="left"/>
        <w:outlineLvl w:val="1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二、支出决算情况说明</w:t>
      </w:r>
    </w:p>
    <w:p w14:paraId="4EF8629C">
      <w:pPr>
        <w:ind w:firstLine="640" w:firstLineChars="200"/>
        <w:jc w:val="left"/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本单位2024年度支出总计1891.79万元，其中本年支出合计1637.52万元，比上年增加234.08万元，增长16.68%，主要原因：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按合同约定支付智慧公积金一体化平台项目进度款；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结余分配0.00万元，与上年持平；年末结转和结余254.27万元，比上年增加254.27万元，主要原因：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智慧公积金一体化平台项目支付进度未达到合同约定时间节点。</w:t>
      </w:r>
    </w:p>
    <w:p w14:paraId="3864AA5E">
      <w:pPr>
        <w:ind w:firstLine="630"/>
        <w:jc w:val="left"/>
        <w:rPr>
          <w:rFonts w:hint="eastAsia"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本年支出的具体构成：基本支出651.09万元，占39.76%；项目支出986.43万元，占60.24%；经营支出0.00万元，占0.00%；上缴上级支出0.00万元，占0.00%；对附属单位补助支出0.00万元，占0.00%。</w:t>
      </w:r>
    </w:p>
    <w:p w14:paraId="0B4A7237">
      <w:pPr>
        <w:ind w:firstLine="630"/>
        <w:jc w:val="left"/>
        <w:outlineLvl w:val="1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三、财政拨款支出决算情况说明</w:t>
      </w:r>
    </w:p>
    <w:p w14:paraId="003AB11B">
      <w:pPr>
        <w:ind w:firstLine="640" w:firstLineChars="200"/>
        <w:jc w:val="left"/>
        <w:rPr>
          <w:rFonts w:hint="eastAsia" w:ascii="仿宋_GB2312" w:hAnsi="仿宋_GB2312" w:eastAsia="仿宋_GB2312"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本单位2024年度财政拨款本年支出年初预算数1292.02万元，决算数1315.30万元，完成年初预算的101.80%。其中：</w:t>
      </w:r>
    </w:p>
    <w:p w14:paraId="2F27ADBF">
      <w:pPr>
        <w:numPr>
          <w:ilvl w:val="0"/>
          <w:numId w:val="1"/>
        </w:numPr>
        <w:ind w:firstLine="640" w:firstLineChars="200"/>
        <w:jc w:val="left"/>
        <w:rPr>
          <w:rFonts w:hint="eastAsia"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 xml:space="preserve">一般公共服务支出（类）年初预算数437.52万元，决算数462.89万元，完成年初预算的105.80%。预决算差异主要原因：在编人员增加2人，其中一名副县级干部、一名科员。 </w:t>
      </w:r>
    </w:p>
    <w:p w14:paraId="7D549FD9">
      <w:pPr>
        <w:numPr>
          <w:ilvl w:val="0"/>
          <w:numId w:val="1"/>
        </w:numPr>
        <w:ind w:firstLine="640" w:firstLineChars="200"/>
        <w:jc w:val="left"/>
        <w:rPr>
          <w:rFonts w:hint="eastAsia"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社会保障和就业支出（类）年初预算数62.63万元，决算数64.75万元，完成年初预算的103.38%。预决算差异主要原因：在编人员增加2人，其中一名副县级干部、一名科员。</w:t>
      </w:r>
    </w:p>
    <w:p w14:paraId="05C4B945">
      <w:pPr>
        <w:ind w:firstLine="640" w:firstLineChars="200"/>
        <w:jc w:val="left"/>
        <w:rPr>
          <w:rFonts w:hint="eastAsia"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（三）卫生健康支出（类）年初预算数29.03万元，决算数29.08万元，完成年初预算的100.17%。预决算差异主要原因：在编人员增加2人，其中一名副县级干部、一名科员。</w:t>
      </w:r>
    </w:p>
    <w:p w14:paraId="7771F58C">
      <w:pPr>
        <w:ind w:firstLine="640" w:firstLineChars="200"/>
        <w:jc w:val="left"/>
        <w:rPr>
          <w:rFonts w:hint="eastAsia"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（四）住房保障支出（类）年初预算数762.84万元，决算数758.59万元，完成年初预算的99.44%。预决算差异主要原因：按照实际业务发展需要列支。</w:t>
      </w:r>
    </w:p>
    <w:p w14:paraId="0F2F719F">
      <w:pPr>
        <w:ind w:firstLine="585"/>
        <w:jc w:val="left"/>
        <w:outlineLvl w:val="1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四、一般公共预算财政拨款基本支出决算情况说明</w:t>
      </w:r>
    </w:p>
    <w:p w14:paraId="4CBDCC80">
      <w:pPr>
        <w:ind w:firstLine="585"/>
        <w:jc w:val="left"/>
        <w:rPr>
          <w:rFonts w:hint="eastAsia"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本单位2024年度一般公共预算财政拨款基本支出651.09万元，其中：</w:t>
      </w:r>
    </w:p>
    <w:p w14:paraId="3B6458E3">
      <w:pPr>
        <w:ind w:firstLine="585"/>
        <w:jc w:val="left"/>
        <w:rPr>
          <w:rFonts w:hint="eastAsia"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（一）工资福利支出628.31万元，比上年增加36.01万元，增长6.08%，主要原因：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增加两名在编人员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。</w:t>
      </w:r>
    </w:p>
    <w:p w14:paraId="5ADFB5B5">
      <w:pPr>
        <w:ind w:firstLine="585"/>
        <w:jc w:val="left"/>
        <w:rPr>
          <w:rFonts w:hint="eastAsia"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（二）商品和服务支出22.78万元，比上年增加7.37万元，增长47.80%，主要原因：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根据实际业务发展需要列支。</w:t>
      </w:r>
    </w:p>
    <w:p w14:paraId="49602DFE">
      <w:pPr>
        <w:ind w:firstLine="585"/>
        <w:jc w:val="left"/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（三）对个人和家庭补助支出0.00万元，比上年减少17.89万元，下降100.00%，主要原因：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上年度与本年度列支口径不一致。</w:t>
      </w:r>
    </w:p>
    <w:p w14:paraId="5FB002BE">
      <w:pPr>
        <w:ind w:firstLine="585"/>
        <w:jc w:val="left"/>
        <w:rPr>
          <w:rFonts w:hint="eastAsia"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（四）资本性支出0.00万元，与上年持平，主要原因：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根据实际业务发展需要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。</w:t>
      </w:r>
    </w:p>
    <w:p w14:paraId="6BFA4280">
      <w:pPr>
        <w:ind w:firstLine="630"/>
        <w:jc w:val="left"/>
        <w:outlineLvl w:val="1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五、财政拨款“三公”经费支出决算情况说明</w:t>
      </w:r>
    </w:p>
    <w:p w14:paraId="75E8C727">
      <w:pPr>
        <w:ind w:firstLine="630"/>
        <w:jc w:val="left"/>
        <w:rPr>
          <w:rFonts w:hint="eastAsia"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本单位2024年度财政拨款“三公”经费支出全年预算数14.00万元，决算数3.59万元，完成全年预算的25.61%；决算数比上年减少19.06万元，下降84.17%，其中：</w:t>
      </w:r>
    </w:p>
    <w:p w14:paraId="2528B475">
      <w:pPr>
        <w:ind w:firstLine="640" w:firstLineChars="200"/>
        <w:jc w:val="left"/>
        <w:rPr>
          <w:rFonts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（一）因公出国（境）费全年预算数0.00万元，决算数0.00万元，主要原因：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根据实际业务发展需要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。决算数与上年持平，主要原因：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根据实际业务发展需要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。全年安排因公出国（境）团组0个，累计0人次，主要是：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根据实际业务发展需要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。</w:t>
      </w:r>
    </w:p>
    <w:p w14:paraId="501C577A">
      <w:pPr>
        <w:ind w:firstLine="640" w:firstLineChars="200"/>
        <w:jc w:val="left"/>
        <w:rPr>
          <w:rFonts w:hint="eastAsia"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（二）公务用车购置及运行维护费全年预算数8.00万元，决算数3.24万元，其中：</w:t>
      </w:r>
    </w:p>
    <w:p w14:paraId="13DB28AE">
      <w:pPr>
        <w:ind w:firstLine="640" w:firstLineChars="200"/>
        <w:jc w:val="left"/>
        <w:rPr>
          <w:rFonts w:hint="eastAsia"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公务用车购置全年预算数0.00万元，决算数0.00万元，主要原因：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根据实际业务发展需要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。决算数比上年减少17.98万元，下降100.00%,主要原因：</w:t>
      </w:r>
      <w:r>
        <w:rPr>
          <w:rFonts w:hint="eastAsia" w:ascii="仿宋_GB2312" w:hAnsi="仿宋" w:eastAsia="仿宋_GB2312"/>
          <w:sz w:val="32"/>
          <w:szCs w:val="32"/>
          <w:highlight w:val="none"/>
          <w:u w:val="none"/>
          <w:lang w:val="en-US" w:eastAsia="zh-CN"/>
        </w:rPr>
        <w:t>上年度有公务用车购置业务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。全年使用财政拨款购置公务用车0辆。</w:t>
      </w:r>
    </w:p>
    <w:p w14:paraId="2D561E9F">
      <w:pPr>
        <w:ind w:firstLine="640" w:firstLineChars="200"/>
        <w:jc w:val="left"/>
        <w:rPr>
          <w:rFonts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公务用车运行维护费全年预算数8.00万元，决算数3.24万元，完成全年预算的40.45%，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根据实际业务发展需要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。决算数比上年减少1.25万元，下降27.91%,主要原因：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根据实际业务发展需要列支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。年末使用财政拨款负担费用的公务用车保有量4辆。</w:t>
      </w:r>
    </w:p>
    <w:p w14:paraId="0E8E9EA8">
      <w:pPr>
        <w:ind w:firstLine="640" w:firstLineChars="200"/>
        <w:jc w:val="left"/>
        <w:rPr>
          <w:rFonts w:hint="eastAsia" w:ascii="仿宋_GB2312" w:hAns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（三）公务接待费全年预算数6.00万元，决算数0.35万元，完成全年预算的5.84%，主要原因：根据实际经济业务发展需要。决算数比上年增加0.17万元,增长93.96%，主要原因：根据实际经济业务发展需要。全年国内公务接待2批，累计接待27人次，主要是：根据实际经济业务发展需要。</w:t>
      </w:r>
    </w:p>
    <w:p w14:paraId="37C8DF0C">
      <w:pPr>
        <w:ind w:firstLine="630"/>
        <w:jc w:val="left"/>
        <w:outlineLvl w:val="1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六、机关运行经费支出情况说明</w:t>
      </w:r>
    </w:p>
    <w:p w14:paraId="36E4B13E">
      <w:pPr>
        <w:ind w:firstLine="630"/>
        <w:jc w:val="left"/>
        <w:rPr>
          <w:rFonts w:hint="eastAsia" w:ascii="仿宋_GB2312" w:hAnsi="仿宋_GB2312" w:eastAsia="仿宋_GB2312"/>
          <w:sz w:val="32"/>
          <w:szCs w:val="32"/>
          <w:highlight w:val="cyan"/>
          <w:lang w:val="en-US" w:eastAsia="zh-CN"/>
        </w:rPr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本单位2024年度机关运行经费支出0.00万元，决算数与上年持平，主要原因：根据实际经济业务发展需要。</w:t>
      </w:r>
    </w:p>
    <w:p w14:paraId="1E70B340">
      <w:pPr>
        <w:ind w:firstLine="630"/>
        <w:jc w:val="left"/>
        <w:outlineLvl w:val="1"/>
        <w:rPr>
          <w:rFonts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七、政府采购支出情况说明</w:t>
      </w:r>
    </w:p>
    <w:p w14:paraId="0897E09F">
      <w:pPr>
        <w:pStyle w:val="4"/>
        <w:spacing w:line="600" w:lineRule="atLeast"/>
        <w:ind w:firstLine="600"/>
        <w:jc w:val="both"/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kern w:val="2"/>
          <w:sz w:val="32"/>
          <w:szCs w:val="32"/>
          <w:lang w:val="en-US" w:eastAsia="zh-CN"/>
        </w:rPr>
        <w:t>本单位2024年度政府采购支出总额115.26万元，其中：政府采购货物支出115.26万元、政府采购工程支出0.00万元、政府采购服务支出0.00万元。授予中小企业合同金额115.26万元，占政府采购支出总额的100.00%，其中：授予小微企业合同金额115.26万元，占授予中小企业合同金额的100.00%。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货物采购授予中小企业合同金额占货物支出金额的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100%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，工程采购授予中小企业合同金额占工程支出金额</w:t>
      </w:r>
      <w:r>
        <w:rPr>
          <w:rFonts w:hint="eastAsia" w:ascii="仿宋_GB2312" w:hAnsi="仿宋_GB2312" w:eastAsia="仿宋_GB2312"/>
          <w:color w:val="auto"/>
          <w:sz w:val="32"/>
          <w:szCs w:val="32"/>
          <w:lang w:val="en-US" w:eastAsia="zh-CN"/>
        </w:rPr>
        <w:t>的0%，服务采购授予中小企业合同金额占服务支出金额的0%。</w:t>
      </w:r>
    </w:p>
    <w:p w14:paraId="785933F6">
      <w:pPr>
        <w:ind w:firstLine="630"/>
        <w:jc w:val="left"/>
        <w:outlineLvl w:val="1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八、国有资产占用情况说明</w:t>
      </w:r>
    </w:p>
    <w:p w14:paraId="730D0A50">
      <w:pPr>
        <w:ind w:firstLine="630"/>
        <w:jc w:val="left"/>
        <w:rPr>
          <w:rFonts w:ascii="仿宋_GB2312" w:hAnsi="仿宋_GB2312" w:eastAsia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/>
        </w:rPr>
        <w:t>截止2024年12月31日，本单位共有车辆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/>
        </w:rPr>
        <w:t>辆（台），其中：副部（省）级及以上领导用车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/>
        </w:rPr>
        <w:t>辆、主要负责人用车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/>
        </w:rPr>
        <w:t>辆、机要通信用车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/>
        </w:rPr>
        <w:t>辆、应急保障用车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/>
        </w:rPr>
        <w:t>辆、执法执勤用车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/>
        </w:rPr>
        <w:t>辆、特种专业技术用车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/>
        </w:rPr>
        <w:t>辆、离退休干部服务用车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/>
        </w:rPr>
        <w:t>辆、其他用车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/>
        </w:rPr>
        <w:t>辆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，其他用车主要是用于（此处请补充内容）</w:t>
      </w: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/>
        </w:rPr>
        <w:t>。本单位单价100万元（含）以上设备（不含车辆）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/>
        </w:rPr>
        <w:t>台（套）。</w:t>
      </w:r>
    </w:p>
    <w:p w14:paraId="0191A9B4">
      <w:pPr>
        <w:ind w:firstLine="630"/>
        <w:jc w:val="left"/>
        <w:outlineLvl w:val="1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九、预算绩效情况说明</w:t>
      </w:r>
    </w:p>
    <w:p w14:paraId="05D09D12">
      <w:pPr>
        <w:autoSpaceDE w:val="0"/>
        <w:autoSpaceDN w:val="0"/>
        <w:adjustRightInd w:val="0"/>
        <w:spacing w:line="360" w:lineRule="auto"/>
        <w:ind w:firstLine="600"/>
        <w:jc w:val="left"/>
        <w:outlineLvl w:val="2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  <w:t>（一）绩效管理工作开展情况。</w:t>
      </w:r>
    </w:p>
    <w:p w14:paraId="7D09F64F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根据预算绩效管理要求，我单位组织对纳入2024年度单位预算范围的二级项目10个全面开展绩效自评，共涉及资金   1189.68万元，占项目支出总额的100%。其中，9个项目评价结果为“优”，1个项目评价结果为“良”， 0个项目评价结果为“中”，0 个项目评价结果为“差”。   </w:t>
      </w:r>
    </w:p>
    <w:p w14:paraId="1C28B50A">
      <w:pPr>
        <w:autoSpaceDE w:val="0"/>
        <w:autoSpaceDN w:val="0"/>
        <w:adjustRightInd w:val="0"/>
        <w:spacing w:line="360" w:lineRule="auto"/>
        <w:ind w:firstLine="600"/>
        <w:jc w:val="left"/>
        <w:outlineLvl w:val="2"/>
        <w:rPr>
          <w:rFonts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  <w:t>（二）单位决算中项目绩效自评情况。</w:t>
      </w:r>
    </w:p>
    <w:p w14:paraId="617F70B6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本单位“聘用人员经费”“公积金网络安全经费”等项目支出绩效自评结果如下：</w:t>
      </w:r>
    </w:p>
    <w:tbl>
      <w:tblPr>
        <w:tblStyle w:val="2"/>
        <w:tblpPr w:leftFromText="180" w:rightFromText="180" w:vertAnchor="text" w:horzAnchor="page" w:tblpX="880" w:tblpY="693"/>
        <w:tblOverlap w:val="never"/>
        <w:tblW w:w="99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568"/>
        <w:gridCol w:w="588"/>
        <w:gridCol w:w="1582"/>
        <w:gridCol w:w="1357"/>
        <w:gridCol w:w="595"/>
        <w:gridCol w:w="876"/>
        <w:gridCol w:w="1137"/>
        <w:gridCol w:w="551"/>
        <w:gridCol w:w="614"/>
        <w:gridCol w:w="766"/>
        <w:gridCol w:w="613"/>
      </w:tblGrid>
      <w:tr w14:paraId="1385F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930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F5D3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2"/>
                <w:szCs w:val="4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2"/>
                <w:szCs w:val="42"/>
                <w:u w:val="none"/>
                <w:lang w:val="en-US" w:eastAsia="zh-CN" w:bidi="ar"/>
              </w:rPr>
              <w:t>项目支出绩效自评表</w:t>
            </w:r>
          </w:p>
        </w:tc>
      </w:tr>
      <w:tr w14:paraId="167A3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9930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89A8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（2024年度）</w:t>
            </w:r>
          </w:p>
        </w:tc>
      </w:tr>
      <w:tr w14:paraId="11A21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12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65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8679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85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聘用人员经费</w:t>
            </w:r>
          </w:p>
        </w:tc>
      </w:tr>
      <w:tr w14:paraId="10880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26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49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2A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鹰潭市公积金管理中心</w:t>
            </w:r>
          </w:p>
        </w:tc>
        <w:tc>
          <w:tcPr>
            <w:tcW w:w="16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C4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</w:t>
            </w:r>
          </w:p>
        </w:tc>
        <w:tc>
          <w:tcPr>
            <w:tcW w:w="19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20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鹰潭市住房公积金管理中心</w:t>
            </w:r>
          </w:p>
        </w:tc>
      </w:tr>
      <w:tr w14:paraId="74BCC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5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94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7F4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0B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年初预算数</w:t>
            </w:r>
          </w:p>
        </w:tc>
        <w:tc>
          <w:tcPr>
            <w:tcW w:w="14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6F8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全年预算数A</w:t>
            </w:r>
          </w:p>
        </w:tc>
        <w:tc>
          <w:tcPr>
            <w:tcW w:w="16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21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全年执行数B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F1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分值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5C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执行率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08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</w:tr>
      <w:tr w14:paraId="14CDB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5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E12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833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年度资金总额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03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4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26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6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09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98.208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50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7D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97.24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52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 w14:paraId="7EB83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5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612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FD0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政府预算资金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9A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4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B8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6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DF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98.208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D4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06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97.24</w:t>
            </w:r>
          </w:p>
        </w:tc>
        <w:tc>
          <w:tcPr>
            <w:tcW w:w="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4E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</w:tr>
      <w:tr w14:paraId="52EFF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2E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目标</w:t>
            </w:r>
          </w:p>
        </w:tc>
        <w:tc>
          <w:tcPr>
            <w:tcW w:w="556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03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预期目标</w:t>
            </w:r>
          </w:p>
        </w:tc>
        <w:tc>
          <w:tcPr>
            <w:tcW w:w="36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3A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实际完成情况</w:t>
            </w:r>
          </w:p>
        </w:tc>
      </w:tr>
      <w:tr w14:paraId="7BFBD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CE9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6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D0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为了保障公积金中心的聘用人员工资福利，维持中心工作分工调配</w:t>
            </w:r>
          </w:p>
        </w:tc>
        <w:tc>
          <w:tcPr>
            <w:tcW w:w="36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CE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基本完成目标</w:t>
            </w:r>
          </w:p>
        </w:tc>
      </w:tr>
      <w:tr w14:paraId="0058B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6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1F34B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11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FC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E4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9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DB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三级指标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1D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72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1CAD1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分值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5B636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3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A1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偏差原因分析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及改进措施</w:t>
            </w:r>
          </w:p>
        </w:tc>
      </w:tr>
      <w:tr w14:paraId="77497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391E70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37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5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8E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19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48B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劳务费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563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≤276400元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D7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189090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2D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A3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147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682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24C273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E3F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263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C57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伙食补助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8D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≤218000元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F8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190080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6C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66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657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D8C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458F2D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15F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431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0AA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福利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E7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≤197400元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04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31200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37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00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64B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323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12ACF2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BAE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FE4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D5E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工资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24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≤968200元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4F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571710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CF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26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3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ACB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59C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4204D6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C8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5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6A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9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D9F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福利发放人数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70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≤34人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F7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80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45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1D9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3C6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6525B4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4F8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809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6A5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工资发放人数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44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≤31人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F6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3B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12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C1A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1B6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43FE0C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1F7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83D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C01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伙食补助发放人数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2B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≤34人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04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42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93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61F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F0E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04ECDB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F1B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FB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9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ADB8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工资、福利完成合格率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ED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＝100%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43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6F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7D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B7E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C64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729E06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7A4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09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9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D2B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工资、福利完成时间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1B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全年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39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基本达成目标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F8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F5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3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DCA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1AA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353B77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ED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5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7C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19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74C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保障单位安全、整洁及其他后勤服务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1E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＝100%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B6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05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16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CC8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5B1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3DF410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23E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1C8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159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保障公积金各办事大厅和各科室业务正常运转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89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＝100%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ED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11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EC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B70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78F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2A5728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EB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86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</w:t>
            </w:r>
          </w:p>
        </w:tc>
        <w:tc>
          <w:tcPr>
            <w:tcW w:w="19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D0E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受益群众满意度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77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≥95%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71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1A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CC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3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E91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919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738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22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总分</w:t>
            </w:r>
          </w:p>
        </w:tc>
        <w:tc>
          <w:tcPr>
            <w:tcW w:w="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02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F8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3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97D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0443528">
      <w:pPr>
        <w:autoSpaceDE w:val="0"/>
        <w:autoSpaceDN w:val="0"/>
        <w:adjustRightInd w:val="0"/>
        <w:spacing w:line="360" w:lineRule="auto"/>
        <w:ind w:firstLine="643" w:firstLineChars="200"/>
        <w:jc w:val="left"/>
        <w:rPr>
          <w:rFonts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</w:pPr>
    </w:p>
    <w:tbl>
      <w:tblPr>
        <w:tblStyle w:val="2"/>
        <w:tblW w:w="100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8"/>
        <w:gridCol w:w="577"/>
        <w:gridCol w:w="602"/>
        <w:gridCol w:w="1618"/>
        <w:gridCol w:w="1379"/>
        <w:gridCol w:w="616"/>
        <w:gridCol w:w="966"/>
        <w:gridCol w:w="1028"/>
        <w:gridCol w:w="641"/>
        <w:gridCol w:w="641"/>
        <w:gridCol w:w="620"/>
        <w:gridCol w:w="697"/>
      </w:tblGrid>
      <w:tr w14:paraId="2DF74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073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909A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2"/>
                <w:szCs w:val="4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2"/>
                <w:szCs w:val="42"/>
                <w:u w:val="none" w:color="000000"/>
                <w:lang w:val="en-US" w:eastAsia="zh-CN" w:bidi="ar"/>
              </w:rPr>
              <w:t>项目支出绩效自评表</w:t>
            </w:r>
          </w:p>
        </w:tc>
      </w:tr>
      <w:tr w14:paraId="1DFBE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073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945D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（2024年度）</w:t>
            </w:r>
          </w:p>
        </w:tc>
      </w:tr>
      <w:tr w14:paraId="44CF8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12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31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项目名称</w:t>
            </w:r>
          </w:p>
        </w:tc>
        <w:tc>
          <w:tcPr>
            <w:tcW w:w="880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23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公积金网络安全经费</w:t>
            </w:r>
          </w:p>
        </w:tc>
      </w:tr>
      <w:tr w14:paraId="53630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6C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主管部门</w:t>
            </w:r>
          </w:p>
        </w:tc>
        <w:tc>
          <w:tcPr>
            <w:tcW w:w="51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3C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鹰潭市公积金管理中心</w:t>
            </w:r>
          </w:p>
        </w:tc>
        <w:tc>
          <w:tcPr>
            <w:tcW w:w="16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2C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实施单位</w:t>
            </w:r>
          </w:p>
        </w:tc>
        <w:tc>
          <w:tcPr>
            <w:tcW w:w="19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13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鹰潭市住房公积金管理中心</w:t>
            </w:r>
          </w:p>
        </w:tc>
      </w:tr>
      <w:tr w14:paraId="33627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6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5F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项目资金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（万元）</w:t>
            </w:r>
          </w:p>
        </w:tc>
        <w:tc>
          <w:tcPr>
            <w:tcW w:w="2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568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66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年初预算数</w:t>
            </w:r>
          </w:p>
        </w:tc>
        <w:tc>
          <w:tcPr>
            <w:tcW w:w="15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D3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全年预算数A</w:t>
            </w:r>
          </w:p>
        </w:tc>
        <w:tc>
          <w:tcPr>
            <w:tcW w:w="16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70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全年执行数B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81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分值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33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执行率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74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得分</w:t>
            </w:r>
          </w:p>
        </w:tc>
      </w:tr>
      <w:tr w14:paraId="1B50B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6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2C4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3E3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 xml:space="preserve"> 年度资金总额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E5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0</w:t>
            </w:r>
          </w:p>
        </w:tc>
        <w:tc>
          <w:tcPr>
            <w:tcW w:w="15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78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105.46</w:t>
            </w:r>
          </w:p>
        </w:tc>
        <w:tc>
          <w:tcPr>
            <w:tcW w:w="16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185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105.46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CF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 xml:space="preserve">10 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0D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100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19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10</w:t>
            </w:r>
          </w:p>
        </w:tc>
      </w:tr>
      <w:tr w14:paraId="67186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6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35C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6F5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政府预算资金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7D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0</w:t>
            </w:r>
          </w:p>
        </w:tc>
        <w:tc>
          <w:tcPr>
            <w:tcW w:w="15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8839C">
            <w:pPr>
              <w:keepNext w:val="0"/>
              <w:keepLines w:val="0"/>
              <w:widowControl/>
              <w:suppressLineNumbers w:val="0"/>
              <w:tabs>
                <w:tab w:val="center" w:pos="685"/>
                <w:tab w:val="right" w:pos="1251"/>
              </w:tabs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105.46</w:t>
            </w:r>
          </w:p>
        </w:tc>
        <w:tc>
          <w:tcPr>
            <w:tcW w:w="16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6C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105.46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31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 w:color="000000"/>
                <w:lang w:val="en-US" w:eastAsia="zh-CN" w:bidi="ar"/>
              </w:rPr>
              <w:t>—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0F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100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D5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 w:color="000000"/>
                <w:lang w:val="en-US" w:eastAsia="zh-CN" w:bidi="ar"/>
              </w:rPr>
              <w:t>—</w:t>
            </w:r>
          </w:p>
        </w:tc>
      </w:tr>
      <w:tr w14:paraId="44B82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48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年度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总体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目标</w:t>
            </w:r>
          </w:p>
        </w:tc>
        <w:tc>
          <w:tcPr>
            <w:tcW w:w="575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17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预期目标</w:t>
            </w:r>
          </w:p>
        </w:tc>
        <w:tc>
          <w:tcPr>
            <w:tcW w:w="362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34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实际完成情况</w:t>
            </w:r>
          </w:p>
        </w:tc>
      </w:tr>
      <w:tr w14:paraId="7093F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1E4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5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70B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全力保障我市智慧住房公积金一体化稳定上线</w:t>
            </w:r>
          </w:p>
        </w:tc>
        <w:tc>
          <w:tcPr>
            <w:tcW w:w="362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10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完成目标</w:t>
            </w:r>
          </w:p>
        </w:tc>
      </w:tr>
      <w:tr w14:paraId="3A09B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6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5B685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绩效指标</w:t>
            </w:r>
          </w:p>
        </w:tc>
        <w:tc>
          <w:tcPr>
            <w:tcW w:w="11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BF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一级指标</w:t>
            </w: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71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二级指标</w:t>
            </w:r>
          </w:p>
        </w:tc>
        <w:tc>
          <w:tcPr>
            <w:tcW w:w="19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6E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 xml:space="preserve">  三级指标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633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年度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指标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90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实际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完成值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4688D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分值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3448B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得分</w:t>
            </w:r>
          </w:p>
        </w:tc>
        <w:tc>
          <w:tcPr>
            <w:tcW w:w="13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9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偏差原因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及改进措施</w:t>
            </w:r>
          </w:p>
        </w:tc>
      </w:tr>
      <w:tr w14:paraId="6019E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1D13E7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7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1F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成本指标</w:t>
            </w:r>
          </w:p>
        </w:tc>
        <w:tc>
          <w:tcPr>
            <w:tcW w:w="16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82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经济成本指标</w:t>
            </w:r>
          </w:p>
        </w:tc>
        <w:tc>
          <w:tcPr>
            <w:tcW w:w="19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681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维修（护）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28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≤52.98万元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3C3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52.98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D5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10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A8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10</w:t>
            </w:r>
          </w:p>
        </w:tc>
        <w:tc>
          <w:tcPr>
            <w:tcW w:w="13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614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D6F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5B5592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7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F2D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6F1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9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4AC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办公设备购置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5F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≤67.6万元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9B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67.6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F5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10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2A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10</w:t>
            </w:r>
          </w:p>
        </w:tc>
        <w:tc>
          <w:tcPr>
            <w:tcW w:w="13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B99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FCC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6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13C265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7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90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产出指标</w:t>
            </w: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8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数量指标</w:t>
            </w:r>
          </w:p>
        </w:tc>
        <w:tc>
          <w:tcPr>
            <w:tcW w:w="19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A2C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新增配适办公设备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FD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≥10套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65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10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A5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13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46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13</w:t>
            </w:r>
          </w:p>
        </w:tc>
        <w:tc>
          <w:tcPr>
            <w:tcW w:w="13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756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C95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0D602A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7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FA1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CF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质量指标</w:t>
            </w:r>
          </w:p>
        </w:tc>
        <w:tc>
          <w:tcPr>
            <w:tcW w:w="19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A1D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系统安全测试通过率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B3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≥95%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C7B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95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8D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13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B8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13</w:t>
            </w:r>
          </w:p>
        </w:tc>
        <w:tc>
          <w:tcPr>
            <w:tcW w:w="13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A16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C76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0B5217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7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867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A6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时效指标</w:t>
            </w:r>
          </w:p>
        </w:tc>
        <w:tc>
          <w:tcPr>
            <w:tcW w:w="19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3F4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维护时长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9F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全年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EE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基本达成目标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8F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14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43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14</w:t>
            </w:r>
          </w:p>
        </w:tc>
        <w:tc>
          <w:tcPr>
            <w:tcW w:w="13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8DC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421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349C4C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7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E50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47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社会效益指标</w:t>
            </w:r>
          </w:p>
        </w:tc>
        <w:tc>
          <w:tcPr>
            <w:tcW w:w="19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19F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公积金业务办理体验感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F6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提高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C4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基本达成目标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91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15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E1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15</w:t>
            </w:r>
          </w:p>
        </w:tc>
        <w:tc>
          <w:tcPr>
            <w:tcW w:w="13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595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753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178FE6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77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满意度指标</w:t>
            </w: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F6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服务对象满意度</w:t>
            </w:r>
          </w:p>
        </w:tc>
        <w:tc>
          <w:tcPr>
            <w:tcW w:w="19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6EA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广大群众满意度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D2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≥95%</w:t>
            </w:r>
          </w:p>
        </w:tc>
        <w:tc>
          <w:tcPr>
            <w:tcW w:w="1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51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95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BB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15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28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15</w:t>
            </w:r>
          </w:p>
        </w:tc>
        <w:tc>
          <w:tcPr>
            <w:tcW w:w="13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ABD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67D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747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9D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总分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1F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 w:color="000000"/>
                <w:lang w:val="en-US" w:eastAsia="zh-CN" w:bidi="ar"/>
              </w:rPr>
              <w:t>100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A1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 w:color="000000"/>
                <w:lang w:val="en-US" w:eastAsia="zh-CN" w:bidi="ar"/>
              </w:rPr>
              <w:t>100</w:t>
            </w:r>
          </w:p>
        </w:tc>
        <w:tc>
          <w:tcPr>
            <w:tcW w:w="13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F8C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9B8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1"/>
          <w:wAfter w:w="9385" w:type="dxa"/>
          <w:trHeight w:val="405" w:hRule="atLeast"/>
          <w:jc w:val="center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E0C6038">
            <w:pPr>
              <w:jc w:val="left"/>
              <w:rPr>
                <w:rFonts w:hint="default"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C09244B">
      <w:pPr>
        <w:autoSpaceDE w:val="0"/>
        <w:autoSpaceDN w:val="0"/>
        <w:adjustRightInd w:val="0"/>
        <w:spacing w:line="360" w:lineRule="auto"/>
        <w:ind w:firstLine="643" w:firstLineChars="200"/>
        <w:jc w:val="left"/>
        <w:rPr>
          <w:rFonts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</w:pPr>
    </w:p>
    <w:p w14:paraId="1B61EA6A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黑体">
    <w:altName w:val="方正黑体_GBK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Arial">
    <w:altName w:val="DejaVu Sans"/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34C470"/>
    <w:multiLevelType w:val="singleLevel"/>
    <w:tmpl w:val="6B34C470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7CD51E6"/>
    <w:rsid w:val="B7CD51E6"/>
    <w:rsid w:val="DDEF39B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0"/>
    <w:basedOn w:val="1"/>
    <w:qFormat/>
    <w:uiPriority w:val="0"/>
    <w:pPr>
      <w:widowControl/>
      <w:jc w:val="both"/>
    </w:pPr>
    <w:rPr>
      <w:kern w:val="0"/>
      <w:szCs w:val="21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2026-08-27T01:29:00Z</dcterms:created>
  <dc:creator>gjj123</dc:creator>
  <cp:lastModifiedBy>gjj123</cp:lastModifiedBy>
  <dcterms:modified xsi:type="dcterms:W3CDTF">2026-08-26T18:58:32Z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C78E63A244B68881D8C68E6A77C6AC9A_43</vt:lpwstr>
  </property>
</Properties>
</file>